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2060" w14:textId="77777777" w:rsidR="00963C3B" w:rsidRDefault="00963C3B"/>
    <w:tbl>
      <w:tblPr>
        <w:tblStyle w:val="TableGrid"/>
        <w:tblW w:w="0" w:type="auto"/>
        <w:tblLook w:val="04A0" w:firstRow="1" w:lastRow="0" w:firstColumn="1" w:lastColumn="0" w:noHBand="0" w:noVBand="1"/>
      </w:tblPr>
      <w:tblGrid>
        <w:gridCol w:w="2965"/>
        <w:gridCol w:w="630"/>
        <w:gridCol w:w="2638"/>
        <w:gridCol w:w="3117"/>
      </w:tblGrid>
      <w:tr w:rsidR="00963C3B" w:rsidRPr="00151947" w14:paraId="403DB5FE" w14:textId="77777777" w:rsidTr="09624BDF">
        <w:tc>
          <w:tcPr>
            <w:tcW w:w="9350" w:type="dxa"/>
            <w:gridSpan w:val="4"/>
            <w:shd w:val="clear" w:color="auto" w:fill="CC3399"/>
          </w:tcPr>
          <w:p w14:paraId="50DCC350" w14:textId="77777777" w:rsidR="00963C3B" w:rsidRPr="00151947" w:rsidRDefault="00963C3B" w:rsidP="00151947">
            <w:pPr>
              <w:jc w:val="center"/>
              <w:rPr>
                <w:rFonts w:ascii="Calibri" w:eastAsia="Brush Script MT" w:hAnsi="Calibri" w:cs="Calibri"/>
                <w:b/>
                <w:bCs/>
                <w:color w:val="FFFFFF" w:themeColor="background1"/>
                <w:sz w:val="28"/>
                <w:szCs w:val="28"/>
              </w:rPr>
            </w:pPr>
            <w:r w:rsidRPr="00151947">
              <w:rPr>
                <w:rFonts w:ascii="Calibri" w:eastAsia="Brush Script MT" w:hAnsi="Calibri" w:cs="Calibri"/>
                <w:b/>
                <w:bCs/>
                <w:color w:val="FFFFFF" w:themeColor="background1"/>
                <w:sz w:val="28"/>
                <w:szCs w:val="28"/>
              </w:rPr>
              <w:t>UNCT-SWAP Gender Equality Scorecard Toolkit Resource</w:t>
            </w:r>
          </w:p>
        </w:tc>
      </w:tr>
      <w:tr w:rsidR="00963C3B" w14:paraId="150FFCDF" w14:textId="77777777" w:rsidTr="09624BDF">
        <w:tc>
          <w:tcPr>
            <w:tcW w:w="3595" w:type="dxa"/>
            <w:gridSpan w:val="2"/>
            <w:shd w:val="clear" w:color="auto" w:fill="FFCCCC"/>
          </w:tcPr>
          <w:p w14:paraId="1A7BBAA0" w14:textId="77777777" w:rsidR="00963C3B" w:rsidRPr="00151947" w:rsidRDefault="00963C3B">
            <w:pPr>
              <w:rPr>
                <w:rFonts w:ascii="Forte" w:eastAsia="Brush Script MT" w:hAnsi="Forte" w:cs="Brush Script MT"/>
                <w:sz w:val="28"/>
                <w:szCs w:val="28"/>
              </w:rPr>
            </w:pPr>
            <w:r w:rsidRPr="00151947">
              <w:rPr>
                <w:rFonts w:ascii="Forte" w:eastAsia="Brush Script MT" w:hAnsi="Forte" w:cs="Brush Script MT"/>
                <w:sz w:val="28"/>
                <w:szCs w:val="28"/>
              </w:rPr>
              <w:t>What?</w:t>
            </w:r>
          </w:p>
          <w:p w14:paraId="17B34E70" w14:textId="46E32000" w:rsidR="00963C3B" w:rsidRDefault="00963C3B" w:rsidP="00296CC2">
            <w:r w:rsidRPr="00E16757">
              <w:rPr>
                <w:i/>
                <w:iCs/>
              </w:rPr>
              <w:t>Promotion of Gender Equality and Women’s Empowerment: Capacity Development</w:t>
            </w:r>
            <w:r>
              <w:t xml:space="preserve"> (United Nations Jordan 2020 draft)</w:t>
            </w:r>
            <w:r w:rsidR="00E16757">
              <w:t>.</w:t>
            </w:r>
          </w:p>
          <w:p w14:paraId="54D4EF02" w14:textId="77777777" w:rsidR="00963C3B" w:rsidRDefault="00963C3B" w:rsidP="00296CC2"/>
          <w:p w14:paraId="07E21525" w14:textId="77777777" w:rsidR="00963C3B" w:rsidRDefault="00963C3B"/>
        </w:tc>
        <w:tc>
          <w:tcPr>
            <w:tcW w:w="5755" w:type="dxa"/>
            <w:gridSpan w:val="2"/>
            <w:shd w:val="clear" w:color="auto" w:fill="FF99CC"/>
          </w:tcPr>
          <w:p w14:paraId="0751D1C2" w14:textId="77777777" w:rsidR="00963C3B" w:rsidRDefault="00963C3B" w:rsidP="003A2930">
            <w:pPr>
              <w:rPr>
                <w:rFonts w:ascii="Forte" w:eastAsia="Brush Script MT" w:hAnsi="Forte" w:cs="Brush Script MT"/>
                <w:sz w:val="28"/>
                <w:szCs w:val="28"/>
              </w:rPr>
            </w:pPr>
            <w:r w:rsidRPr="22F01D45">
              <w:rPr>
                <w:rFonts w:ascii="Forte" w:eastAsia="Brush Script MT" w:hAnsi="Forte" w:cs="Brush Script MT"/>
                <w:sz w:val="28"/>
                <w:szCs w:val="28"/>
              </w:rPr>
              <w:t>Why?</w:t>
            </w:r>
          </w:p>
          <w:p w14:paraId="3D2703A2" w14:textId="77777777" w:rsidR="007F2AB7" w:rsidRDefault="00963C3B" w:rsidP="09624BDF">
            <w:pPr>
              <w:rPr>
                <w:rFonts w:ascii="Calibri" w:eastAsia="Calibri" w:hAnsi="Calibri" w:cs="Calibri"/>
              </w:rPr>
            </w:pPr>
            <w:r w:rsidRPr="09624BDF">
              <w:rPr>
                <w:rFonts w:ascii="Calibri" w:eastAsia="Calibri" w:hAnsi="Calibri" w:cs="Calibri"/>
              </w:rPr>
              <w:t xml:space="preserve">The capacity development plan </w:t>
            </w:r>
            <w:r w:rsidR="007F2AB7" w:rsidRPr="09624BDF">
              <w:rPr>
                <w:rFonts w:ascii="Calibri" w:eastAsia="Calibri" w:hAnsi="Calibri" w:cs="Calibri"/>
              </w:rPr>
              <w:t>w</w:t>
            </w:r>
            <w:r w:rsidRPr="09624BDF">
              <w:rPr>
                <w:rFonts w:ascii="Calibri" w:eastAsia="Calibri" w:hAnsi="Calibri" w:cs="Calibri"/>
              </w:rPr>
              <w:t xml:space="preserve">as developed in line with the UNCT-SWAP Scorecard requirements for Performance Indicator 5.2 (criteria a and b).  </w:t>
            </w:r>
          </w:p>
          <w:p w14:paraId="04CF9A6C" w14:textId="77777777" w:rsidR="007F2AB7" w:rsidRDefault="007F2AB7" w:rsidP="09624BDF">
            <w:pPr>
              <w:rPr>
                <w:rFonts w:ascii="Calibri" w:eastAsia="Calibri" w:hAnsi="Calibri" w:cs="Calibri"/>
              </w:rPr>
            </w:pPr>
          </w:p>
          <w:p w14:paraId="4C9A7561" w14:textId="77777777" w:rsidR="003633A5" w:rsidRDefault="00963C3B" w:rsidP="09624BDF">
            <w:pPr>
              <w:rPr>
                <w:rFonts w:ascii="Calibri" w:eastAsia="Calibri" w:hAnsi="Calibri" w:cs="Calibri"/>
              </w:rPr>
            </w:pPr>
            <w:r w:rsidRPr="09624BDF">
              <w:rPr>
                <w:rFonts w:ascii="Calibri" w:eastAsia="Calibri" w:hAnsi="Calibri" w:cs="Calibri"/>
              </w:rPr>
              <w:t>The plan takes a systemwide approach to assess</w:t>
            </w:r>
            <w:r w:rsidR="007F2AB7" w:rsidRPr="09624BDF">
              <w:rPr>
                <w:rFonts w:ascii="Calibri" w:eastAsia="Calibri" w:hAnsi="Calibri" w:cs="Calibri"/>
              </w:rPr>
              <w:t>ing</w:t>
            </w:r>
            <w:r w:rsidRPr="09624BDF">
              <w:rPr>
                <w:rFonts w:ascii="Calibri" w:eastAsia="Calibri" w:hAnsi="Calibri" w:cs="Calibri"/>
              </w:rPr>
              <w:t xml:space="preserve"> and target</w:t>
            </w:r>
            <w:r w:rsidR="007F2AB7" w:rsidRPr="09624BDF">
              <w:rPr>
                <w:rFonts w:ascii="Calibri" w:eastAsia="Calibri" w:hAnsi="Calibri" w:cs="Calibri"/>
              </w:rPr>
              <w:t>ing</w:t>
            </w:r>
            <w:r w:rsidRPr="09624BDF">
              <w:rPr>
                <w:rFonts w:ascii="Calibri" w:eastAsia="Calibri" w:hAnsi="Calibri" w:cs="Calibri"/>
              </w:rPr>
              <w:t xml:space="preserve"> capacity development </w:t>
            </w:r>
            <w:r w:rsidR="00127EBD" w:rsidRPr="09624BDF">
              <w:rPr>
                <w:rFonts w:ascii="Calibri" w:eastAsia="Calibri" w:hAnsi="Calibri" w:cs="Calibri"/>
              </w:rPr>
              <w:t>on gender equality and women’s empowerment</w:t>
            </w:r>
            <w:r w:rsidRPr="09624BDF">
              <w:rPr>
                <w:rFonts w:ascii="Calibri" w:eastAsia="Calibri" w:hAnsi="Calibri" w:cs="Calibri"/>
              </w:rPr>
              <w:t xml:space="preserve">, focusing on Gender Focal Points as well as building technical expertise across the three Cooperation Framework Outcomes and the five thematic areas of the Socio-economic Framework for the COVID-19 Response. </w:t>
            </w:r>
          </w:p>
          <w:p w14:paraId="7F9A8B12" w14:textId="77777777" w:rsidR="003633A5" w:rsidRDefault="003633A5" w:rsidP="09624BDF">
            <w:pPr>
              <w:rPr>
                <w:rFonts w:ascii="Calibri" w:eastAsia="Calibri" w:hAnsi="Calibri" w:cs="Calibri"/>
              </w:rPr>
            </w:pPr>
          </w:p>
          <w:p w14:paraId="68E8C47C" w14:textId="66D61EB5" w:rsidR="00963C3B" w:rsidRDefault="00963C3B" w:rsidP="09624BDF">
            <w:r w:rsidRPr="09624BDF">
              <w:rPr>
                <w:rFonts w:ascii="Calibri" w:eastAsia="Calibri" w:hAnsi="Calibri" w:cs="Calibri"/>
              </w:rPr>
              <w:t>The plan draws on a combination of available online training resources</w:t>
            </w:r>
            <w:r w:rsidR="003633A5" w:rsidRPr="09624BDF">
              <w:rPr>
                <w:rFonts w:ascii="Calibri" w:eastAsia="Calibri" w:hAnsi="Calibri" w:cs="Calibri"/>
              </w:rPr>
              <w:t>,</w:t>
            </w:r>
            <w:r w:rsidRPr="09624BDF">
              <w:rPr>
                <w:rFonts w:ascii="Calibri" w:eastAsia="Calibri" w:hAnsi="Calibri" w:cs="Calibri"/>
              </w:rPr>
              <w:t xml:space="preserve"> as well customized approaches tailored to the country context and specific needs.</w:t>
            </w:r>
          </w:p>
          <w:p w14:paraId="44C6AE0D" w14:textId="77777777" w:rsidR="00963C3B" w:rsidRPr="006742E2" w:rsidRDefault="00963C3B" w:rsidP="00733D96">
            <w:pPr>
              <w:rPr>
                <w:rFonts w:ascii="Calibri" w:hAnsi="Calibri" w:cs="Calibri"/>
              </w:rPr>
            </w:pPr>
          </w:p>
        </w:tc>
      </w:tr>
      <w:tr w:rsidR="00963C3B" w14:paraId="2DD3703F" w14:textId="77777777" w:rsidTr="09624BDF">
        <w:tc>
          <w:tcPr>
            <w:tcW w:w="9350" w:type="dxa"/>
            <w:gridSpan w:val="4"/>
            <w:shd w:val="clear" w:color="auto" w:fill="auto"/>
          </w:tcPr>
          <w:p w14:paraId="2164A9D1" w14:textId="77777777" w:rsidR="00963C3B" w:rsidRPr="00151947" w:rsidRDefault="00963C3B" w:rsidP="00AE14FC">
            <w:pPr>
              <w:rPr>
                <w:rFonts w:ascii="Forte" w:eastAsia="Brush Script MT" w:hAnsi="Forte" w:cs="Brush Script MT"/>
                <w:sz w:val="28"/>
                <w:szCs w:val="28"/>
              </w:rPr>
            </w:pPr>
          </w:p>
        </w:tc>
      </w:tr>
      <w:tr w:rsidR="00963C3B" w:rsidRPr="00B23671" w14:paraId="65AE6637" w14:textId="77777777" w:rsidTr="09624BDF">
        <w:tc>
          <w:tcPr>
            <w:tcW w:w="9350" w:type="dxa"/>
            <w:gridSpan w:val="4"/>
            <w:shd w:val="clear" w:color="auto" w:fill="CC3399"/>
          </w:tcPr>
          <w:p w14:paraId="2385F901" w14:textId="77777777" w:rsidR="00963C3B" w:rsidRPr="00B23671" w:rsidRDefault="00963C3B" w:rsidP="00B23671">
            <w:pPr>
              <w:jc w:val="center"/>
              <w:rPr>
                <w:rFonts w:ascii="Calibri" w:eastAsia="Brush Script MT" w:hAnsi="Calibri" w:cs="Calibri"/>
                <w:b/>
                <w:bCs/>
                <w:color w:val="FFFFFF" w:themeColor="background1"/>
                <w:sz w:val="28"/>
                <w:szCs w:val="28"/>
              </w:rPr>
            </w:pPr>
            <w:r w:rsidRPr="00B23671">
              <w:rPr>
                <w:rFonts w:ascii="Calibri" w:eastAsia="Brush Script MT" w:hAnsi="Calibri" w:cs="Calibri"/>
                <w:b/>
                <w:bCs/>
                <w:color w:val="FFFFFF" w:themeColor="background1"/>
                <w:sz w:val="28"/>
                <w:szCs w:val="28"/>
              </w:rPr>
              <w:t xml:space="preserve">Performance Indicator </w:t>
            </w:r>
            <w:r>
              <w:rPr>
                <w:rFonts w:ascii="Calibri" w:eastAsia="Brush Script MT" w:hAnsi="Calibri" w:cs="Calibri"/>
                <w:b/>
                <w:bCs/>
                <w:color w:val="FFFFFF" w:themeColor="background1"/>
                <w:sz w:val="28"/>
                <w:szCs w:val="28"/>
              </w:rPr>
              <w:t>5.2</w:t>
            </w:r>
            <w:r w:rsidRPr="00B23671">
              <w:rPr>
                <w:rFonts w:ascii="Calibri" w:eastAsia="Brush Script MT" w:hAnsi="Calibri" w:cs="Calibri"/>
                <w:b/>
                <w:bCs/>
                <w:color w:val="FFFFFF" w:themeColor="background1"/>
                <w:sz w:val="28"/>
                <w:szCs w:val="28"/>
              </w:rPr>
              <w:t xml:space="preserve"> </w:t>
            </w:r>
            <w:r>
              <w:rPr>
                <w:rFonts w:ascii="Calibri" w:eastAsia="Brush Script MT" w:hAnsi="Calibri" w:cs="Calibri"/>
                <w:b/>
                <w:bCs/>
                <w:color w:val="FFFFFF" w:themeColor="background1"/>
                <w:sz w:val="28"/>
                <w:szCs w:val="28"/>
              </w:rPr>
              <w:t>Gender Capacities</w:t>
            </w:r>
          </w:p>
        </w:tc>
      </w:tr>
      <w:tr w:rsidR="00963C3B" w:rsidRPr="00B23671" w14:paraId="59AACABF" w14:textId="77777777" w:rsidTr="09624BDF">
        <w:tc>
          <w:tcPr>
            <w:tcW w:w="2965" w:type="dxa"/>
            <w:shd w:val="clear" w:color="auto" w:fill="FF99CC"/>
          </w:tcPr>
          <w:p w14:paraId="6E94376D" w14:textId="77777777" w:rsidR="00963C3B" w:rsidRPr="003B61EC" w:rsidRDefault="00963C3B" w:rsidP="1D8ACB9A">
            <w:pPr>
              <w:jc w:val="center"/>
              <w:rPr>
                <w:rFonts w:eastAsiaTheme="minorEastAsia"/>
                <w:b/>
                <w:bCs/>
                <w:sz w:val="28"/>
                <w:szCs w:val="28"/>
              </w:rPr>
            </w:pPr>
            <w:r w:rsidRPr="1D8ACB9A">
              <w:rPr>
                <w:rFonts w:eastAsiaTheme="minorEastAsia"/>
                <w:b/>
                <w:bCs/>
              </w:rPr>
              <w:t>Approaches Minimum Requirements</w:t>
            </w:r>
          </w:p>
        </w:tc>
        <w:tc>
          <w:tcPr>
            <w:tcW w:w="3268" w:type="dxa"/>
            <w:gridSpan w:val="2"/>
            <w:shd w:val="clear" w:color="auto" w:fill="FF99CC"/>
          </w:tcPr>
          <w:p w14:paraId="471F3C92" w14:textId="77777777" w:rsidR="00963C3B" w:rsidRPr="003B61EC" w:rsidRDefault="00963C3B" w:rsidP="1D8ACB9A">
            <w:pPr>
              <w:jc w:val="center"/>
              <w:rPr>
                <w:rFonts w:eastAsiaTheme="minorEastAsia"/>
                <w:b/>
                <w:bCs/>
              </w:rPr>
            </w:pPr>
            <w:r w:rsidRPr="1D8ACB9A">
              <w:rPr>
                <w:rFonts w:eastAsiaTheme="minorEastAsia"/>
                <w:b/>
                <w:bCs/>
              </w:rPr>
              <w:t>Meets Minimum</w:t>
            </w:r>
          </w:p>
          <w:p w14:paraId="14637D24" w14:textId="77777777" w:rsidR="00963C3B" w:rsidRPr="003B61EC" w:rsidRDefault="00963C3B" w:rsidP="1D8ACB9A">
            <w:pPr>
              <w:jc w:val="center"/>
              <w:rPr>
                <w:rFonts w:eastAsiaTheme="minorEastAsia"/>
                <w:b/>
                <w:bCs/>
                <w:sz w:val="28"/>
                <w:szCs w:val="28"/>
              </w:rPr>
            </w:pPr>
            <w:r w:rsidRPr="1D8ACB9A">
              <w:rPr>
                <w:rFonts w:eastAsiaTheme="minorEastAsia"/>
                <w:b/>
                <w:bCs/>
              </w:rPr>
              <w:t>Requirements</w:t>
            </w:r>
          </w:p>
        </w:tc>
        <w:tc>
          <w:tcPr>
            <w:tcW w:w="3117" w:type="dxa"/>
            <w:shd w:val="clear" w:color="auto" w:fill="FF99CC"/>
          </w:tcPr>
          <w:p w14:paraId="47C48839" w14:textId="77777777" w:rsidR="00963C3B" w:rsidRPr="003B61EC" w:rsidRDefault="00963C3B" w:rsidP="1D8ACB9A">
            <w:pPr>
              <w:jc w:val="center"/>
              <w:rPr>
                <w:rFonts w:eastAsiaTheme="minorEastAsia"/>
                <w:b/>
                <w:bCs/>
                <w:sz w:val="28"/>
                <w:szCs w:val="28"/>
              </w:rPr>
            </w:pPr>
            <w:r w:rsidRPr="1D8ACB9A">
              <w:rPr>
                <w:rFonts w:eastAsiaTheme="minorEastAsia"/>
                <w:b/>
                <w:bCs/>
              </w:rPr>
              <w:t>Exceeds Minimum Requirements</w:t>
            </w:r>
          </w:p>
        </w:tc>
      </w:tr>
      <w:tr w:rsidR="00963C3B" w:rsidRPr="00FF6863" w14:paraId="629306D9" w14:textId="77777777" w:rsidTr="09624BDF">
        <w:tc>
          <w:tcPr>
            <w:tcW w:w="2965" w:type="dxa"/>
            <w:shd w:val="clear" w:color="auto" w:fill="FFCCCC"/>
          </w:tcPr>
          <w:p w14:paraId="0830EBA4" w14:textId="77777777" w:rsidR="00963C3B" w:rsidRPr="00E16757" w:rsidRDefault="00963C3B" w:rsidP="2F76ACF4">
            <w:pPr>
              <w:rPr>
                <w:rFonts w:eastAsia="Times New Roman" w:cstheme="minorHAnsi"/>
                <w:color w:val="000000" w:themeColor="text1"/>
              </w:rPr>
            </w:pPr>
            <w:r w:rsidRPr="00E16757">
              <w:rPr>
                <w:rFonts w:eastAsia="Times New Roman" w:cstheme="minorHAnsi"/>
                <w:b/>
                <w:bCs/>
                <w:lang w:val="en-AU"/>
              </w:rPr>
              <w:t>a)</w:t>
            </w:r>
            <w:r w:rsidRPr="00E16757">
              <w:rPr>
                <w:rFonts w:eastAsia="Times New Roman" w:cstheme="minorHAnsi"/>
                <w:lang w:val="en-AU"/>
              </w:rPr>
              <w:t xml:space="preserve"> At least one substantive inter-agency capacity development activity for UN personnel has been carried out during the past year.</w:t>
            </w:r>
          </w:p>
        </w:tc>
        <w:tc>
          <w:tcPr>
            <w:tcW w:w="3268" w:type="dxa"/>
            <w:gridSpan w:val="2"/>
            <w:shd w:val="clear" w:color="auto" w:fill="FFCCCC"/>
          </w:tcPr>
          <w:p w14:paraId="57CC956B" w14:textId="28673768" w:rsidR="00963C3B" w:rsidRPr="00E16757" w:rsidRDefault="00963C3B" w:rsidP="2F76ACF4">
            <w:pPr>
              <w:rPr>
                <w:rFonts w:eastAsia="Times New Roman" w:cstheme="minorHAnsi"/>
                <w:lang w:val="en-AU"/>
              </w:rPr>
            </w:pPr>
            <w:r w:rsidRPr="00E16757">
              <w:rPr>
                <w:rFonts w:eastAsia="Times New Roman" w:cstheme="minorHAnsi"/>
                <w:lang w:val="en-AU"/>
              </w:rPr>
              <w:t xml:space="preserve">Meets </w:t>
            </w:r>
            <w:r w:rsidRPr="00E16757">
              <w:rPr>
                <w:rFonts w:eastAsia="Times New Roman" w:cstheme="minorHAnsi"/>
                <w:b/>
                <w:bCs/>
                <w:lang w:val="en-AU"/>
              </w:rPr>
              <w:t>two</w:t>
            </w:r>
            <w:r w:rsidRPr="00E16757">
              <w:rPr>
                <w:rFonts w:eastAsia="Times New Roman" w:cstheme="minorHAnsi"/>
                <w:lang w:val="en-AU"/>
              </w:rPr>
              <w:t xml:space="preserve"> of the following </w:t>
            </w:r>
            <w:r w:rsidRPr="00E16757">
              <w:rPr>
                <w:rFonts w:eastAsia="Times New Roman" w:cstheme="minorHAnsi"/>
                <w:b/>
                <w:bCs/>
                <w:lang w:val="en-AU"/>
              </w:rPr>
              <w:t>three</w:t>
            </w:r>
            <w:r w:rsidRPr="00E16757">
              <w:rPr>
                <w:rFonts w:eastAsia="Times New Roman" w:cstheme="minorHAnsi"/>
                <w:lang w:val="en-AU"/>
              </w:rPr>
              <w:t>:</w:t>
            </w:r>
            <w:r w:rsidRPr="00E16757">
              <w:rPr>
                <w:rFonts w:cstheme="minorHAnsi"/>
              </w:rPr>
              <w:br/>
            </w:r>
          </w:p>
          <w:p w14:paraId="5E8D1577" w14:textId="77777777" w:rsidR="00963C3B" w:rsidRPr="00E16757" w:rsidRDefault="00963C3B" w:rsidP="2F76ACF4">
            <w:pPr>
              <w:rPr>
                <w:rFonts w:eastAsia="Times New Roman" w:cstheme="minorHAnsi"/>
                <w:lang w:val="en-AU"/>
              </w:rPr>
            </w:pPr>
            <w:r w:rsidRPr="00E16757">
              <w:rPr>
                <w:rFonts w:eastAsia="Times New Roman" w:cstheme="minorHAnsi"/>
                <w:b/>
                <w:bCs/>
                <w:lang w:val="en-AU"/>
              </w:rPr>
              <w:t>a)</w:t>
            </w:r>
            <w:r w:rsidRPr="00E16757">
              <w:rPr>
                <w:rFonts w:eastAsia="Times New Roman" w:cstheme="minorHAnsi"/>
                <w:lang w:val="en-AU"/>
              </w:rPr>
              <w:t xml:space="preserve"> At least one substantive inter-agency capacity development activity for UN personnel has been carried out during the past year.</w:t>
            </w:r>
          </w:p>
          <w:p w14:paraId="657D7023" w14:textId="77777777" w:rsidR="00963C3B" w:rsidRPr="00E16757" w:rsidRDefault="00963C3B" w:rsidP="2F76ACF4">
            <w:pPr>
              <w:rPr>
                <w:rFonts w:eastAsia="Times New Roman" w:cstheme="minorHAnsi"/>
                <w:lang w:val="en-AU"/>
              </w:rPr>
            </w:pPr>
          </w:p>
          <w:p w14:paraId="1843DCDD" w14:textId="77777777" w:rsidR="00963C3B" w:rsidRPr="00E16757" w:rsidRDefault="00963C3B" w:rsidP="2F76ACF4">
            <w:pPr>
              <w:rPr>
                <w:rFonts w:eastAsia="Times New Roman" w:cstheme="minorHAnsi"/>
                <w:lang w:val="en-AU"/>
              </w:rPr>
            </w:pPr>
            <w:r w:rsidRPr="00E16757">
              <w:rPr>
                <w:rFonts w:eastAsia="Times New Roman" w:cstheme="minorHAnsi"/>
                <w:b/>
                <w:bCs/>
                <w:lang w:val="en-AU"/>
              </w:rPr>
              <w:t xml:space="preserve">b) </w:t>
            </w:r>
            <w:r w:rsidRPr="00E16757">
              <w:rPr>
                <w:rFonts w:eastAsia="Times New Roman" w:cstheme="minorHAnsi"/>
                <w:lang w:val="en-AU"/>
              </w:rPr>
              <w:t>A capacity development plan based on an inter-agency capacity assessment is established or updated at least once per Cooperation Framework cycle and targets are on track.</w:t>
            </w:r>
          </w:p>
          <w:p w14:paraId="7E7CBE35" w14:textId="77777777" w:rsidR="00963C3B" w:rsidRPr="00E16757" w:rsidRDefault="00963C3B" w:rsidP="2F76ACF4">
            <w:pPr>
              <w:rPr>
                <w:rFonts w:eastAsia="Times New Roman" w:cstheme="minorHAnsi"/>
                <w:lang w:val="en-AU"/>
              </w:rPr>
            </w:pPr>
          </w:p>
          <w:p w14:paraId="1299F2BD" w14:textId="77777777" w:rsidR="00963C3B" w:rsidRPr="00E16757" w:rsidRDefault="00963C3B" w:rsidP="2F76ACF4">
            <w:pPr>
              <w:contextualSpacing/>
              <w:rPr>
                <w:rFonts w:eastAsia="Times New Roman" w:cstheme="minorHAnsi"/>
                <w:color w:val="000000" w:themeColor="text1"/>
              </w:rPr>
            </w:pPr>
            <w:r w:rsidRPr="00E16757">
              <w:rPr>
                <w:rFonts w:eastAsia="Times New Roman" w:cstheme="minorHAnsi"/>
                <w:b/>
                <w:bCs/>
                <w:lang w:val="en-AU"/>
              </w:rPr>
              <w:t xml:space="preserve">c) </w:t>
            </w:r>
            <w:r w:rsidRPr="00E16757">
              <w:rPr>
                <w:rFonts w:eastAsia="Times New Roman" w:cstheme="minorHAnsi"/>
                <w:lang w:val="en-AU"/>
              </w:rPr>
              <w:t>UNCT induction material includes gender equality and the empowerment of women commitments and related development challenges of the country.</w:t>
            </w:r>
          </w:p>
        </w:tc>
        <w:tc>
          <w:tcPr>
            <w:tcW w:w="3117" w:type="dxa"/>
            <w:shd w:val="clear" w:color="auto" w:fill="FFCCCC"/>
          </w:tcPr>
          <w:p w14:paraId="3701FD53" w14:textId="1AC54B61" w:rsidR="00963C3B" w:rsidRPr="00E16757" w:rsidRDefault="00963C3B" w:rsidP="2F76ACF4">
            <w:pPr>
              <w:rPr>
                <w:rFonts w:eastAsia="Times New Roman" w:cstheme="minorHAnsi"/>
                <w:lang w:val="en-AU"/>
              </w:rPr>
            </w:pPr>
            <w:r w:rsidRPr="00E16757">
              <w:rPr>
                <w:rFonts w:eastAsia="Times New Roman" w:cstheme="minorHAnsi"/>
                <w:lang w:val="en-AU"/>
              </w:rPr>
              <w:t xml:space="preserve">Meets </w:t>
            </w:r>
            <w:proofErr w:type="gramStart"/>
            <w:r w:rsidRPr="00E16757">
              <w:rPr>
                <w:rFonts w:eastAsia="Times New Roman" w:cstheme="minorHAnsi"/>
                <w:b/>
                <w:bCs/>
                <w:lang w:val="en-AU"/>
              </w:rPr>
              <w:t xml:space="preserve">all </w:t>
            </w:r>
            <w:r w:rsidRPr="00E16757">
              <w:rPr>
                <w:rFonts w:eastAsia="Times New Roman" w:cstheme="minorHAnsi"/>
                <w:lang w:val="en-AU"/>
              </w:rPr>
              <w:t>of</w:t>
            </w:r>
            <w:proofErr w:type="gramEnd"/>
            <w:r w:rsidRPr="00E16757">
              <w:rPr>
                <w:rFonts w:eastAsia="Times New Roman" w:cstheme="minorHAnsi"/>
                <w:lang w:val="en-AU"/>
              </w:rPr>
              <w:t xml:space="preserve"> the following:</w:t>
            </w:r>
            <w:r w:rsidRPr="00E16757">
              <w:rPr>
                <w:rFonts w:cstheme="minorHAnsi"/>
              </w:rPr>
              <w:br/>
            </w:r>
          </w:p>
          <w:p w14:paraId="626029A0" w14:textId="77777777" w:rsidR="00963C3B" w:rsidRPr="00E16757" w:rsidRDefault="00963C3B" w:rsidP="2F76ACF4">
            <w:pPr>
              <w:rPr>
                <w:rFonts w:eastAsia="Times New Roman" w:cstheme="minorHAnsi"/>
                <w:lang w:val="en-AU"/>
              </w:rPr>
            </w:pPr>
            <w:r w:rsidRPr="00E16757">
              <w:rPr>
                <w:rFonts w:eastAsia="Times New Roman" w:cstheme="minorHAnsi"/>
                <w:b/>
                <w:bCs/>
                <w:lang w:val="en-AU"/>
              </w:rPr>
              <w:t>a)</w:t>
            </w:r>
            <w:r w:rsidRPr="00E16757">
              <w:rPr>
                <w:rFonts w:eastAsia="Times New Roman" w:cstheme="minorHAnsi"/>
                <w:lang w:val="en-AU"/>
              </w:rPr>
              <w:t xml:space="preserve"> At least one substantive inter-agency capacity development activity for UN personnel has been carried out during the past year.</w:t>
            </w:r>
          </w:p>
          <w:p w14:paraId="1E29BC1D" w14:textId="77777777" w:rsidR="00963C3B" w:rsidRPr="00E16757" w:rsidRDefault="00963C3B" w:rsidP="2F76ACF4">
            <w:pPr>
              <w:rPr>
                <w:rFonts w:eastAsia="Times New Roman" w:cstheme="minorHAnsi"/>
                <w:lang w:val="en-AU"/>
              </w:rPr>
            </w:pPr>
          </w:p>
          <w:p w14:paraId="422267F9" w14:textId="77777777" w:rsidR="00963C3B" w:rsidRPr="00E16757" w:rsidRDefault="00963C3B" w:rsidP="2F76ACF4">
            <w:pPr>
              <w:rPr>
                <w:rFonts w:eastAsia="Times New Roman" w:cstheme="minorHAnsi"/>
                <w:lang w:val="en-AU"/>
              </w:rPr>
            </w:pPr>
            <w:r w:rsidRPr="00E16757">
              <w:rPr>
                <w:rFonts w:eastAsia="Times New Roman" w:cstheme="minorHAnsi"/>
                <w:b/>
                <w:bCs/>
                <w:lang w:val="en-AU"/>
              </w:rPr>
              <w:t xml:space="preserve">b) </w:t>
            </w:r>
            <w:r w:rsidRPr="00E16757">
              <w:rPr>
                <w:rFonts w:eastAsia="Times New Roman" w:cstheme="minorHAnsi"/>
                <w:lang w:val="en-AU"/>
              </w:rPr>
              <w:t>A capacity development plan based on an inter-agency capacity assessment is established or updated at least once per Cooperation Framework cycle and targets are on track.</w:t>
            </w:r>
          </w:p>
          <w:p w14:paraId="3CFB8137" w14:textId="77777777" w:rsidR="00963C3B" w:rsidRPr="00E16757" w:rsidRDefault="00963C3B" w:rsidP="2F76ACF4">
            <w:pPr>
              <w:rPr>
                <w:rFonts w:eastAsia="Times New Roman" w:cstheme="minorHAnsi"/>
                <w:lang w:val="en-AU"/>
              </w:rPr>
            </w:pPr>
          </w:p>
          <w:p w14:paraId="1798F8F1" w14:textId="77777777" w:rsidR="00963C3B" w:rsidRPr="00E16757" w:rsidRDefault="00963C3B" w:rsidP="2F76ACF4">
            <w:pPr>
              <w:rPr>
                <w:rFonts w:eastAsia="Times New Roman" w:cstheme="minorHAnsi"/>
                <w:color w:val="000000" w:themeColor="text1"/>
              </w:rPr>
            </w:pPr>
            <w:r w:rsidRPr="00E16757">
              <w:rPr>
                <w:rFonts w:eastAsia="Times New Roman" w:cstheme="minorHAnsi"/>
                <w:b/>
                <w:bCs/>
                <w:lang w:val="en-AU"/>
              </w:rPr>
              <w:t xml:space="preserve">c) </w:t>
            </w:r>
            <w:r w:rsidRPr="00E16757">
              <w:rPr>
                <w:rFonts w:eastAsia="Times New Roman" w:cstheme="minorHAnsi"/>
                <w:lang w:val="en-AU"/>
              </w:rPr>
              <w:t>UNCT induction material includes gender equality and the empowerment of women commitments and related development challenges of the country.</w:t>
            </w:r>
          </w:p>
        </w:tc>
      </w:tr>
    </w:tbl>
    <w:p w14:paraId="37554084" w14:textId="7780CD13" w:rsidR="2F76ACF4" w:rsidRDefault="2F76ACF4" w:rsidP="2F76ACF4"/>
    <w:p w14:paraId="5EF3DD21" w14:textId="3B7145D6" w:rsidR="00E30F47" w:rsidRPr="00C96376" w:rsidRDefault="002721AC" w:rsidP="00570378">
      <w:pPr>
        <w:jc w:val="center"/>
        <w:rPr>
          <w:b/>
          <w:bCs/>
          <w:u w:val="single"/>
        </w:rPr>
      </w:pPr>
      <w:r>
        <w:rPr>
          <w:b/>
          <w:bCs/>
          <w:u w:val="single"/>
        </w:rPr>
        <w:t>Promotion of G</w:t>
      </w:r>
      <w:r w:rsidR="00C96376">
        <w:rPr>
          <w:b/>
          <w:bCs/>
          <w:u w:val="single"/>
        </w:rPr>
        <w:t xml:space="preserve">ender </w:t>
      </w:r>
      <w:r>
        <w:rPr>
          <w:b/>
          <w:bCs/>
          <w:u w:val="single"/>
        </w:rPr>
        <w:t>E</w:t>
      </w:r>
      <w:r w:rsidR="00C96376">
        <w:rPr>
          <w:b/>
          <w:bCs/>
          <w:u w:val="single"/>
        </w:rPr>
        <w:t>quality</w:t>
      </w:r>
      <w:r>
        <w:rPr>
          <w:b/>
          <w:bCs/>
          <w:u w:val="single"/>
        </w:rPr>
        <w:t xml:space="preserve"> and Women’s Empowerment: </w:t>
      </w:r>
      <w:r w:rsidRPr="00C96376">
        <w:rPr>
          <w:b/>
          <w:bCs/>
          <w:u w:val="single"/>
        </w:rPr>
        <w:t xml:space="preserve">Capacity </w:t>
      </w:r>
      <w:r>
        <w:rPr>
          <w:b/>
          <w:bCs/>
          <w:u w:val="single"/>
        </w:rPr>
        <w:t>D</w:t>
      </w:r>
      <w:r w:rsidRPr="00C96376">
        <w:rPr>
          <w:b/>
          <w:bCs/>
          <w:u w:val="single"/>
        </w:rPr>
        <w:t>evelopment</w:t>
      </w:r>
    </w:p>
    <w:p w14:paraId="1B3C869A" w14:textId="65D3E931" w:rsidR="008E782D" w:rsidRDefault="00C96376" w:rsidP="00FA2BB2">
      <w:pPr>
        <w:jc w:val="both"/>
      </w:pPr>
      <w:r>
        <w:t xml:space="preserve">Jordan’s UNCT SWAP gender equality scorecard (2019) brought forward </w:t>
      </w:r>
      <w:proofErr w:type="gramStart"/>
      <w:r>
        <w:t>a number of</w:t>
      </w:r>
      <w:proofErr w:type="gramEnd"/>
      <w:r>
        <w:t xml:space="preserve"> insights and recommendations on how the UN can work better together to strengthen collective efforts to address gender equality and women’s empowerment</w:t>
      </w:r>
      <w:r w:rsidR="00570378">
        <w:t xml:space="preserve"> (GEWE)</w:t>
      </w:r>
      <w:r>
        <w:t>. For indicator</w:t>
      </w:r>
      <w:r w:rsidRPr="00C96376">
        <w:t xml:space="preserve"> 5.2 </w:t>
      </w:r>
      <w:r>
        <w:t>[</w:t>
      </w:r>
      <w:r w:rsidRPr="00C96376">
        <w:t>UNCT has adequate capacities developed for gender mainstreaming</w:t>
      </w:r>
      <w:r>
        <w:t>] the score received was “approaching minimum standards” in 2019, indicating a need to address capacity needs for GEWE in Jordan.</w:t>
      </w:r>
      <w:r w:rsidR="008E782D">
        <w:t xml:space="preserve"> To this end, this capacity development plan has a twofold approach; </w:t>
      </w:r>
      <w:r w:rsidR="008E782D" w:rsidRPr="008E782D">
        <w:rPr>
          <w:i/>
          <w:iCs/>
        </w:rPr>
        <w:t>1)</w:t>
      </w:r>
      <w:r w:rsidRPr="008E782D">
        <w:rPr>
          <w:i/>
          <w:iCs/>
        </w:rPr>
        <w:t xml:space="preserve"> </w:t>
      </w:r>
      <w:r w:rsidR="008E782D" w:rsidRPr="008E782D">
        <w:rPr>
          <w:i/>
          <w:iCs/>
        </w:rPr>
        <w:t>ensure that the UN family has adequate basic capacity to address GEWE and knowledge to address Jordan’s GEWE commitments</w:t>
      </w:r>
      <w:r w:rsidR="008E782D">
        <w:rPr>
          <w:i/>
          <w:iCs/>
        </w:rPr>
        <w:t>;</w:t>
      </w:r>
      <w:r w:rsidR="008E782D" w:rsidRPr="008E782D">
        <w:rPr>
          <w:i/>
          <w:iCs/>
        </w:rPr>
        <w:t xml:space="preserve"> 2) ensure that the UN has additional thematic and tailored knowledge</w:t>
      </w:r>
      <w:r w:rsidR="008E782D">
        <w:rPr>
          <w:i/>
          <w:iCs/>
        </w:rPr>
        <w:t>,</w:t>
      </w:r>
      <w:r w:rsidR="008E782D" w:rsidRPr="008E782D">
        <w:rPr>
          <w:i/>
          <w:iCs/>
        </w:rPr>
        <w:t xml:space="preserve"> technical capacity</w:t>
      </w:r>
      <w:r w:rsidR="008E782D">
        <w:t xml:space="preserve"> to implement the socio-economic framework and the UNSDF. </w:t>
      </w:r>
    </w:p>
    <w:p w14:paraId="69706EFD" w14:textId="3D0F413A" w:rsidR="00C96376" w:rsidRPr="00FA2BB2" w:rsidRDefault="008E782D" w:rsidP="00FA2BB2">
      <w:pPr>
        <w:jc w:val="both"/>
        <w:rPr>
          <w:b/>
          <w:bCs/>
          <w:u w:val="single"/>
        </w:rPr>
      </w:pPr>
      <w:r>
        <w:rPr>
          <w:b/>
          <w:bCs/>
          <w:u w:val="single"/>
        </w:rPr>
        <w:t>1) Basic capacity needs</w:t>
      </w:r>
    </w:p>
    <w:p w14:paraId="5B9364B8" w14:textId="65B7F59C" w:rsidR="00C96376" w:rsidRDefault="00C96376" w:rsidP="008E782D">
      <w:pPr>
        <w:jc w:val="both"/>
      </w:pPr>
      <w:r>
        <w:t>P</w:t>
      </w:r>
      <w:r w:rsidRPr="00C96376">
        <w:t>romotion of gender equality</w:t>
      </w:r>
      <w:r>
        <w:t xml:space="preserve"> </w:t>
      </w:r>
      <w:r w:rsidRPr="00C96376">
        <w:t>and the empowerment of women is everybody’s business and</w:t>
      </w:r>
      <w:r>
        <w:t xml:space="preserve"> </w:t>
      </w:r>
      <w:r w:rsidRPr="00C96376">
        <w:t>responsibility for gender mainstreaming should be shared among</w:t>
      </w:r>
      <w:r>
        <w:t xml:space="preserve"> </w:t>
      </w:r>
      <w:r w:rsidRPr="00C96376">
        <w:t>staff at various levels</w:t>
      </w:r>
      <w:r w:rsidR="008E782D">
        <w:t xml:space="preserve"> throughout the UN System</w:t>
      </w:r>
      <w:r w:rsidRPr="00C96376">
        <w:t>, including the management</w:t>
      </w:r>
      <w:r>
        <w:t xml:space="preserve">. </w:t>
      </w:r>
      <w:r w:rsidR="008E782D">
        <w:t xml:space="preserve">While the below skills are desired across functions, </w:t>
      </w:r>
      <w:r w:rsidR="00FA2BB2">
        <w:t>Gender Focal Points (GFPs)</w:t>
      </w:r>
      <w:r w:rsidRPr="00C96376">
        <w:t xml:space="preserve"> can act as champion</w:t>
      </w:r>
      <w:r w:rsidR="00FA2BB2">
        <w:t>s</w:t>
      </w:r>
      <w:r w:rsidRPr="00C96376">
        <w:t xml:space="preserve"> for </w:t>
      </w:r>
      <w:r w:rsidR="00FA2BB2">
        <w:t>GEWE</w:t>
      </w:r>
      <w:r w:rsidR="008E782D">
        <w:t xml:space="preserve"> and safeguard basic knowledge and skills available</w:t>
      </w:r>
      <w:r>
        <w:t>.</w:t>
      </w:r>
      <w:r w:rsidRPr="00C96376">
        <w:t xml:space="preserve"> The GFP role can differ somewhat from organization to organization, and duties may depend upon the</w:t>
      </w:r>
      <w:r w:rsidR="00FA2BB2">
        <w:t xml:space="preserve"> functional role of the GFP in </w:t>
      </w:r>
      <w:r w:rsidRPr="00C96376">
        <w:t>the organization and what kind of gender architecture the</w:t>
      </w:r>
      <w:r>
        <w:t xml:space="preserve"> </w:t>
      </w:r>
      <w:r w:rsidRPr="00C96376">
        <w:t>organization has in place.</w:t>
      </w:r>
      <w:r>
        <w:t xml:space="preserve"> It is</w:t>
      </w:r>
      <w:r w:rsidRPr="00C96376">
        <w:t xml:space="preserve"> acknowledged that the role of </w:t>
      </w:r>
      <w:r w:rsidR="00FA2BB2">
        <w:t xml:space="preserve">a </w:t>
      </w:r>
      <w:r w:rsidRPr="00C96376">
        <w:t>GFP is taken</w:t>
      </w:r>
      <w:r>
        <w:t xml:space="preserve"> </w:t>
      </w:r>
      <w:r w:rsidRPr="00C96376">
        <w:t>on by staff with existing workloads, and thus a GFP is</w:t>
      </w:r>
      <w:r>
        <w:t xml:space="preserve"> </w:t>
      </w:r>
      <w:r w:rsidRPr="00C96376">
        <w:t>not intended to serve as a substitute for a full-time institutional</w:t>
      </w:r>
      <w:r>
        <w:t xml:space="preserve"> </w:t>
      </w:r>
      <w:r w:rsidRPr="00C96376">
        <w:t>gender specialist. Yet, the GFP role is a vital contribution to</w:t>
      </w:r>
      <w:r>
        <w:t xml:space="preserve"> </w:t>
      </w:r>
      <w:r w:rsidRPr="00C96376">
        <w:t>the building of the capacity of staff and partners alike to identify the</w:t>
      </w:r>
      <w:r>
        <w:t xml:space="preserve"> </w:t>
      </w:r>
      <w:r w:rsidRPr="00C96376">
        <w:t xml:space="preserve">distinct needs of women, girls, boys, and men, </w:t>
      </w:r>
      <w:r w:rsidR="008E782D">
        <w:t>the use of gender analysis and sex disaggregated data, and</w:t>
      </w:r>
      <w:r w:rsidRPr="00C96376">
        <w:t xml:space="preserve"> tailor </w:t>
      </w:r>
      <w:r w:rsidR="00FA2BB2">
        <w:t xml:space="preserve">the </w:t>
      </w:r>
      <w:r w:rsidRPr="00C96376">
        <w:t>organization’s actions and performance indicators accordingly</w:t>
      </w:r>
      <w:r w:rsidR="00FA2BB2">
        <w:t>. To fulfill these tasks</w:t>
      </w:r>
      <w:r w:rsidR="008E782D">
        <w:t>,</w:t>
      </w:r>
      <w:r w:rsidR="00FA2BB2">
        <w:t xml:space="preserve"> below skills and knowledge are main requirements for GFPs:</w:t>
      </w:r>
    </w:p>
    <w:p w14:paraId="68EAADD7" w14:textId="77777777" w:rsidR="00C96376" w:rsidRDefault="00C96376" w:rsidP="00FA2BB2">
      <w:pPr>
        <w:jc w:val="both"/>
        <w:rPr>
          <w:b/>
          <w:bCs/>
        </w:rPr>
      </w:pPr>
      <w:r>
        <w:rPr>
          <w:b/>
          <w:bCs/>
        </w:rPr>
        <w:t>Skills</w:t>
      </w:r>
    </w:p>
    <w:p w14:paraId="0E1C0D31" w14:textId="77777777" w:rsidR="00C96376" w:rsidRDefault="00C96376" w:rsidP="00FA2BB2">
      <w:pPr>
        <w:pStyle w:val="ListParagraph"/>
        <w:numPr>
          <w:ilvl w:val="0"/>
          <w:numId w:val="4"/>
        </w:numPr>
        <w:spacing w:after="0" w:line="240" w:lineRule="auto"/>
        <w:contextualSpacing w:val="0"/>
        <w:jc w:val="both"/>
        <w:rPr>
          <w:rFonts w:eastAsia="Times New Roman"/>
        </w:rPr>
      </w:pPr>
      <w:r>
        <w:rPr>
          <w:rFonts w:eastAsia="Times New Roman"/>
        </w:rPr>
        <w:t>Apply gender mainstreaming tools (such as gender markers)</w:t>
      </w:r>
    </w:p>
    <w:p w14:paraId="6532BC7B" w14:textId="77777777" w:rsidR="00C96376" w:rsidRDefault="00C96376" w:rsidP="00FA2BB2">
      <w:pPr>
        <w:pStyle w:val="ListParagraph"/>
        <w:numPr>
          <w:ilvl w:val="0"/>
          <w:numId w:val="4"/>
        </w:numPr>
        <w:spacing w:after="0" w:line="240" w:lineRule="auto"/>
        <w:contextualSpacing w:val="0"/>
        <w:jc w:val="both"/>
        <w:rPr>
          <w:rFonts w:eastAsia="Times New Roman"/>
        </w:rPr>
      </w:pPr>
      <w:r>
        <w:rPr>
          <w:rFonts w:eastAsia="Times New Roman"/>
        </w:rPr>
        <w:t>Advocate and communicate effectively for gender equality (in thematic area / the organization)</w:t>
      </w:r>
    </w:p>
    <w:p w14:paraId="6675B6EA" w14:textId="77777777" w:rsidR="00C96376" w:rsidRDefault="00C96376" w:rsidP="00FA2BB2">
      <w:pPr>
        <w:pStyle w:val="ListParagraph"/>
        <w:numPr>
          <w:ilvl w:val="0"/>
          <w:numId w:val="4"/>
        </w:numPr>
        <w:spacing w:after="0" w:line="240" w:lineRule="auto"/>
        <w:contextualSpacing w:val="0"/>
        <w:jc w:val="both"/>
        <w:rPr>
          <w:rFonts w:eastAsia="Times New Roman"/>
        </w:rPr>
      </w:pPr>
      <w:r>
        <w:rPr>
          <w:rFonts w:eastAsia="Times New Roman"/>
        </w:rPr>
        <w:t>Provide advice on requests on gender perspectives in aspects of the work of the department/ unit/ organization, using own resources or outside expertise</w:t>
      </w:r>
    </w:p>
    <w:p w14:paraId="4CF70EFE" w14:textId="77777777" w:rsidR="00C96376" w:rsidRDefault="00C96376" w:rsidP="00FA2BB2">
      <w:pPr>
        <w:jc w:val="both"/>
      </w:pPr>
    </w:p>
    <w:p w14:paraId="4EC79F49" w14:textId="3B53A979" w:rsidR="00C96376" w:rsidRPr="00C96376" w:rsidRDefault="00C96376" w:rsidP="00FA2BB2">
      <w:pPr>
        <w:jc w:val="both"/>
        <w:rPr>
          <w:b/>
          <w:bCs/>
        </w:rPr>
      </w:pPr>
      <w:r>
        <w:rPr>
          <w:b/>
          <w:bCs/>
        </w:rPr>
        <w:t>Knowledge</w:t>
      </w:r>
    </w:p>
    <w:p w14:paraId="5B36A077" w14:textId="77777777" w:rsidR="00C96376" w:rsidRPr="00FA2BB2" w:rsidRDefault="00C96376" w:rsidP="00FA2BB2">
      <w:pPr>
        <w:pStyle w:val="ListParagraph"/>
        <w:numPr>
          <w:ilvl w:val="0"/>
          <w:numId w:val="4"/>
        </w:numPr>
        <w:spacing w:after="0" w:line="240" w:lineRule="auto"/>
        <w:contextualSpacing w:val="0"/>
        <w:jc w:val="both"/>
        <w:rPr>
          <w:rFonts w:eastAsia="Times New Roman"/>
        </w:rPr>
      </w:pPr>
      <w:r w:rsidRPr="00FA2BB2">
        <w:rPr>
          <w:rFonts w:eastAsia="Times New Roman"/>
        </w:rPr>
        <w:t xml:space="preserve">Knowledge of basic and key gender concepts </w:t>
      </w:r>
    </w:p>
    <w:p w14:paraId="59B6D31D" w14:textId="710206C9" w:rsidR="00C96376" w:rsidRPr="00FA2BB2" w:rsidRDefault="00C96376" w:rsidP="00FA2BB2">
      <w:pPr>
        <w:pStyle w:val="ListParagraph"/>
        <w:numPr>
          <w:ilvl w:val="0"/>
          <w:numId w:val="4"/>
        </w:numPr>
        <w:spacing w:after="0" w:line="240" w:lineRule="auto"/>
        <w:contextualSpacing w:val="0"/>
        <w:jc w:val="both"/>
        <w:rPr>
          <w:rFonts w:eastAsia="Times New Roman"/>
        </w:rPr>
      </w:pPr>
      <w:r w:rsidRPr="00FA2BB2">
        <w:rPr>
          <w:rFonts w:eastAsia="Times New Roman"/>
        </w:rPr>
        <w:t xml:space="preserve">Knowledge </w:t>
      </w:r>
      <w:r w:rsidR="008E782D">
        <w:rPr>
          <w:rFonts w:eastAsia="Times New Roman"/>
        </w:rPr>
        <w:t xml:space="preserve">of Jordan’s frameworks and commitments relevant to GEWE and the linkages to </w:t>
      </w:r>
      <w:r w:rsidRPr="00FA2BB2">
        <w:rPr>
          <w:rFonts w:eastAsia="Times New Roman"/>
        </w:rPr>
        <w:t xml:space="preserve">international policy and normative framework for </w:t>
      </w:r>
      <w:r w:rsidR="008E782D">
        <w:rPr>
          <w:rFonts w:eastAsia="Times New Roman"/>
        </w:rPr>
        <w:t>GEWE</w:t>
      </w:r>
    </w:p>
    <w:p w14:paraId="55CDF03A" w14:textId="4A4F7868" w:rsidR="00C96376" w:rsidRPr="00FA2BB2" w:rsidRDefault="00C96376" w:rsidP="00FA2BB2">
      <w:pPr>
        <w:pStyle w:val="ListParagraph"/>
        <w:numPr>
          <w:ilvl w:val="0"/>
          <w:numId w:val="4"/>
        </w:numPr>
        <w:spacing w:after="0" w:line="240" w:lineRule="auto"/>
        <w:contextualSpacing w:val="0"/>
        <w:jc w:val="both"/>
        <w:rPr>
          <w:rFonts w:eastAsia="Times New Roman"/>
        </w:rPr>
      </w:pPr>
      <w:r w:rsidRPr="00FA2BB2">
        <w:rPr>
          <w:rFonts w:eastAsia="Times New Roman"/>
        </w:rPr>
        <w:t>Acquainted with UN accountability systems (UN</w:t>
      </w:r>
      <w:r w:rsidR="008E782D">
        <w:rPr>
          <w:rFonts w:eastAsia="Times New Roman"/>
        </w:rPr>
        <w:t xml:space="preserve"> </w:t>
      </w:r>
      <w:r w:rsidRPr="00FA2BB2">
        <w:rPr>
          <w:rFonts w:eastAsia="Times New Roman"/>
        </w:rPr>
        <w:t xml:space="preserve">SWAP – UNCT Gender </w:t>
      </w:r>
      <w:r w:rsidR="008E782D">
        <w:rPr>
          <w:rFonts w:eastAsia="Times New Roman"/>
        </w:rPr>
        <w:t xml:space="preserve">Equality </w:t>
      </w:r>
      <w:r w:rsidRPr="00FA2BB2">
        <w:rPr>
          <w:rFonts w:eastAsia="Times New Roman"/>
        </w:rPr>
        <w:t>Scorecard)</w:t>
      </w:r>
    </w:p>
    <w:p w14:paraId="512D1724" w14:textId="65CB0BF7" w:rsidR="008E782D" w:rsidRDefault="008E782D" w:rsidP="00FA2BB2">
      <w:pPr>
        <w:jc w:val="both"/>
        <w:rPr>
          <w:b/>
          <w:bCs/>
        </w:rPr>
      </w:pPr>
    </w:p>
    <w:p w14:paraId="3996E8EF" w14:textId="6D72E95F" w:rsidR="008E782D" w:rsidRDefault="008E782D" w:rsidP="00FA2BB2">
      <w:pPr>
        <w:jc w:val="both"/>
        <w:rPr>
          <w:b/>
          <w:bCs/>
        </w:rPr>
      </w:pPr>
    </w:p>
    <w:p w14:paraId="6C6FC577" w14:textId="77777777" w:rsidR="008E782D" w:rsidRDefault="008E782D" w:rsidP="00FA2BB2">
      <w:pPr>
        <w:jc w:val="both"/>
        <w:rPr>
          <w:b/>
          <w:bCs/>
          <w:u w:val="single"/>
        </w:rPr>
      </w:pPr>
    </w:p>
    <w:p w14:paraId="48E5710C" w14:textId="5D5641F4" w:rsidR="00FA2BB2" w:rsidRPr="008E782D" w:rsidRDefault="00FA2BB2" w:rsidP="00FA2BB2">
      <w:pPr>
        <w:jc w:val="both"/>
      </w:pPr>
      <w:r w:rsidRPr="008E782D">
        <w:rPr>
          <w:b/>
          <w:bCs/>
        </w:rPr>
        <w:t>Sugges</w:t>
      </w:r>
      <w:r w:rsidR="00C96376" w:rsidRPr="008E782D">
        <w:rPr>
          <w:b/>
          <w:bCs/>
        </w:rPr>
        <w:t>t</w:t>
      </w:r>
      <w:r w:rsidRPr="008E782D">
        <w:rPr>
          <w:b/>
          <w:bCs/>
        </w:rPr>
        <w:t>ed curriculum for GFPs</w:t>
      </w:r>
      <w:r w:rsidR="00C96376" w:rsidRPr="008E782D">
        <w:t xml:space="preserve">: </w:t>
      </w:r>
    </w:p>
    <w:p w14:paraId="3690B0DB" w14:textId="2FD1AD87" w:rsidR="00FA2BB2" w:rsidRPr="008E782D" w:rsidRDefault="008E782D" w:rsidP="00FA2BB2">
      <w:pPr>
        <w:jc w:val="both"/>
      </w:pPr>
      <w:r w:rsidRPr="008E782D">
        <w:t>I</w:t>
      </w:r>
      <w:r w:rsidR="00FA2BB2" w:rsidRPr="008E782D">
        <w:t xml:space="preserve">) Gender concepts, </w:t>
      </w:r>
      <w:proofErr w:type="gramStart"/>
      <w:r w:rsidR="00FA2BB2" w:rsidRPr="008E782D">
        <w:t>analysis</w:t>
      </w:r>
      <w:proofErr w:type="gramEnd"/>
      <w:r w:rsidR="00FA2BB2" w:rsidRPr="008E782D">
        <w:t xml:space="preserve"> and data:</w:t>
      </w:r>
    </w:p>
    <w:p w14:paraId="146931F0" w14:textId="7F52DA93" w:rsidR="00C96376" w:rsidRDefault="00C96376" w:rsidP="007A766B">
      <w:pPr>
        <w:pStyle w:val="ListParagraph"/>
        <w:numPr>
          <w:ilvl w:val="0"/>
          <w:numId w:val="8"/>
        </w:numPr>
      </w:pPr>
      <w:r>
        <w:t>UN Women “I Know Gender” online course</w:t>
      </w:r>
      <w:r w:rsidR="00FA2BB2">
        <w:t xml:space="preserve"> (free)</w:t>
      </w:r>
      <w:r>
        <w:t xml:space="preserve">: </w:t>
      </w:r>
      <w:hyperlink r:id="rId11" w:history="1">
        <w:r w:rsidRPr="00935880">
          <w:rPr>
            <w:rStyle w:val="Hyperlink"/>
          </w:rPr>
          <w:t>https://trainingcentre.unwomen.org/portal/product/i-know-gender-1-2-3-gender-concepts-to-get-started-international-frameworks-for-gender-equality-and-promoting-gender-equality-throughout-the-un-system/</w:t>
        </w:r>
      </w:hyperlink>
      <w:r>
        <w:t xml:space="preserve"> </w:t>
      </w:r>
    </w:p>
    <w:p w14:paraId="61D5F1B7" w14:textId="5722B6C6" w:rsidR="00C96376" w:rsidRDefault="008E782D" w:rsidP="00FA2BB2">
      <w:pPr>
        <w:jc w:val="both"/>
      </w:pPr>
      <w:r w:rsidRPr="008E782D">
        <w:t>II</w:t>
      </w:r>
      <w:r w:rsidR="00C96376" w:rsidRPr="008E782D">
        <w:t xml:space="preserve">) </w:t>
      </w:r>
      <w:r w:rsidR="00E25B29">
        <w:t>Jordan’s policy frameworks and i</w:t>
      </w:r>
      <w:r w:rsidR="00C96376" w:rsidRPr="008E782D">
        <w:t>nternational normative and policy framework</w:t>
      </w:r>
      <w:r w:rsidR="00E25B29">
        <w:t>s</w:t>
      </w:r>
    </w:p>
    <w:p w14:paraId="69CAB8AC" w14:textId="13CC016B" w:rsidR="00E25B29" w:rsidRPr="008E782D" w:rsidRDefault="00351484" w:rsidP="005C703C">
      <w:pPr>
        <w:pStyle w:val="ListParagraph"/>
        <w:numPr>
          <w:ilvl w:val="0"/>
          <w:numId w:val="8"/>
        </w:numPr>
        <w:jc w:val="both"/>
      </w:pPr>
      <w:r>
        <w:t>Familiarity with the National Strategy for Women</w:t>
      </w:r>
      <w:r w:rsidR="003E15B1">
        <w:t xml:space="preserve">, the </w:t>
      </w:r>
      <w:r w:rsidR="003E15B1" w:rsidRPr="003E15B1">
        <w:t>Women</w:t>
      </w:r>
      <w:r w:rsidR="003E15B1">
        <w:t>’s</w:t>
      </w:r>
      <w:r w:rsidR="003E15B1" w:rsidRPr="003E15B1">
        <w:t xml:space="preserve"> Economic Empowermen</w:t>
      </w:r>
      <w:r w:rsidR="003E15B1">
        <w:t>t</w:t>
      </w:r>
      <w:r w:rsidR="003E15B1" w:rsidRPr="003E15B1">
        <w:t xml:space="preserve"> Plan under Mashreq Facility</w:t>
      </w:r>
      <w:r w:rsidR="00AC6490">
        <w:t>, the Jordanian National Action Plan (</w:t>
      </w:r>
      <w:r w:rsidR="00AC6490" w:rsidRPr="00AC6490">
        <w:t>JONAP</w:t>
      </w:r>
      <w:r w:rsidR="00AC6490">
        <w:t>) to implement UN Security Council Resolution</w:t>
      </w:r>
      <w:r w:rsidR="00AC6490" w:rsidRPr="00AC6490">
        <w:t xml:space="preserve"> 1325</w:t>
      </w:r>
      <w:r w:rsidR="00AC6490">
        <w:t xml:space="preserve"> on Women, Peace and Security</w:t>
      </w:r>
      <w:r w:rsidR="00841D91">
        <w:t xml:space="preserve">; Jordan Vision 2025; </w:t>
      </w:r>
      <w:r w:rsidR="005C703C">
        <w:t xml:space="preserve">Jordan’s Executive Development Plan; </w:t>
      </w:r>
      <w:r w:rsidR="005C703C" w:rsidRPr="005C703C">
        <w:t>Jordan Re</w:t>
      </w:r>
      <w:r w:rsidR="005C703C">
        <w:t xml:space="preserve">naissance </w:t>
      </w:r>
      <w:r w:rsidR="005C703C" w:rsidRPr="005C703C">
        <w:t xml:space="preserve">Plan </w:t>
      </w:r>
    </w:p>
    <w:p w14:paraId="20B374E5" w14:textId="75592EFF" w:rsidR="00FA2BB2" w:rsidRDefault="00FA2BB2" w:rsidP="007A766B">
      <w:pPr>
        <w:pStyle w:val="ListParagraph"/>
        <w:numPr>
          <w:ilvl w:val="0"/>
          <w:numId w:val="8"/>
        </w:numPr>
      </w:pPr>
      <w:r w:rsidRPr="00FA2BB2">
        <w:t xml:space="preserve">2030 Agenda for Sustainable Development and Gender Equality </w:t>
      </w:r>
      <w:hyperlink r:id="rId12" w:history="1">
        <w:r w:rsidRPr="00AA5046">
          <w:rPr>
            <w:rStyle w:val="Hyperlink"/>
          </w:rPr>
          <w:t>https://trainingcentre.unwomen.org/portal/product/2030-agenda-sustainable-development-gender-equality/</w:t>
        </w:r>
      </w:hyperlink>
      <w:r>
        <w:t xml:space="preserve"> </w:t>
      </w:r>
    </w:p>
    <w:p w14:paraId="31E41B06" w14:textId="3F9ABC5A" w:rsidR="00FA2BB2" w:rsidRDefault="00C96376" w:rsidP="005C703C">
      <w:pPr>
        <w:pStyle w:val="ListParagraph"/>
        <w:numPr>
          <w:ilvl w:val="0"/>
          <w:numId w:val="8"/>
        </w:numPr>
        <w:jc w:val="both"/>
      </w:pPr>
      <w:r>
        <w:t xml:space="preserve">Introduction to CEDAW (free): </w:t>
      </w:r>
      <w:hyperlink r:id="rId13" w:history="1">
        <w:r w:rsidR="00FA2BB2" w:rsidRPr="00AA5046">
          <w:rPr>
            <w:rStyle w:val="Hyperlink"/>
          </w:rPr>
          <w:t>https://trainingcentre.unwomen.org/portal/product/cedaw/</w:t>
        </w:r>
      </w:hyperlink>
      <w:r w:rsidR="00FA2BB2">
        <w:t xml:space="preserve"> </w:t>
      </w:r>
      <w:r>
        <w:t xml:space="preserve"> </w:t>
      </w:r>
    </w:p>
    <w:p w14:paraId="27A734BC" w14:textId="1224938B" w:rsidR="00C96376" w:rsidRPr="008E782D" w:rsidRDefault="008E782D" w:rsidP="00FA2BB2">
      <w:pPr>
        <w:jc w:val="both"/>
      </w:pPr>
      <w:r>
        <w:t>III</w:t>
      </w:r>
      <w:r w:rsidR="00C96376" w:rsidRPr="008E782D">
        <w:t xml:space="preserve">) Navigating GEWE within </w:t>
      </w:r>
      <w:r w:rsidR="00FA2BB2" w:rsidRPr="008E782D">
        <w:t xml:space="preserve">a </w:t>
      </w:r>
      <w:r w:rsidR="00C96376" w:rsidRPr="008E782D">
        <w:t>UN context and the role of GFPs</w:t>
      </w:r>
      <w:r w:rsidR="00FA2BB2" w:rsidRPr="008E782D">
        <w:t xml:space="preserve"> in Jordan</w:t>
      </w:r>
    </w:p>
    <w:p w14:paraId="7A41F45F" w14:textId="2A0BCA29" w:rsidR="00C96376" w:rsidRDefault="00FA2BB2" w:rsidP="005C703C">
      <w:pPr>
        <w:pStyle w:val="ListParagraph"/>
        <w:numPr>
          <w:ilvl w:val="0"/>
          <w:numId w:val="9"/>
        </w:numPr>
        <w:jc w:val="both"/>
      </w:pPr>
      <w:r>
        <w:t>Customized training based on need.</w:t>
      </w:r>
    </w:p>
    <w:p w14:paraId="21574EC1" w14:textId="582CF92E" w:rsidR="008E782D" w:rsidRPr="008E782D" w:rsidRDefault="008E782D" w:rsidP="00FA2BB2">
      <w:pPr>
        <w:jc w:val="both"/>
        <w:rPr>
          <w:b/>
          <w:bCs/>
          <w:u w:val="single"/>
        </w:rPr>
      </w:pPr>
      <w:r w:rsidRPr="008E782D">
        <w:rPr>
          <w:b/>
          <w:bCs/>
          <w:u w:val="single"/>
        </w:rPr>
        <w:t>2) Thematic and technical capacity needs</w:t>
      </w:r>
    </w:p>
    <w:p w14:paraId="50D0D9F5" w14:textId="264C84C4" w:rsidR="008E782D" w:rsidRDefault="008E782D" w:rsidP="008E782D">
      <w:pPr>
        <w:jc w:val="both"/>
      </w:pPr>
      <w:r>
        <w:t xml:space="preserve">In addition to basic knowledge, the UN in Jordan needs to be equipped to support Jordan in its socioeconomic recovery in relation to the five pillars that the UN collectively has committed to prioritize: </w:t>
      </w:r>
    </w:p>
    <w:p w14:paraId="7201FDC1" w14:textId="77777777" w:rsidR="008E782D" w:rsidRPr="0005210F" w:rsidRDefault="008E782D" w:rsidP="008E782D">
      <w:pPr>
        <w:pStyle w:val="ListParagraph"/>
        <w:numPr>
          <w:ilvl w:val="0"/>
          <w:numId w:val="7"/>
        </w:numPr>
        <w:spacing w:after="120" w:line="240" w:lineRule="auto"/>
        <w:contextualSpacing w:val="0"/>
        <w:rPr>
          <w:rFonts w:cstheme="minorHAnsi"/>
        </w:rPr>
      </w:pPr>
      <w:r w:rsidRPr="0005210F">
        <w:rPr>
          <w:rFonts w:cstheme="minorHAnsi"/>
        </w:rPr>
        <w:t>Health First: Protecting Health Services and Systems</w:t>
      </w:r>
    </w:p>
    <w:p w14:paraId="5170B9AB" w14:textId="77777777" w:rsidR="008E782D" w:rsidRPr="0005210F" w:rsidRDefault="008E782D" w:rsidP="008E782D">
      <w:pPr>
        <w:pStyle w:val="ListParagraph"/>
        <w:numPr>
          <w:ilvl w:val="0"/>
          <w:numId w:val="7"/>
        </w:numPr>
        <w:spacing w:after="120" w:line="240" w:lineRule="auto"/>
        <w:contextualSpacing w:val="0"/>
        <w:rPr>
          <w:rFonts w:cstheme="minorHAnsi"/>
        </w:rPr>
      </w:pPr>
      <w:r w:rsidRPr="0005210F">
        <w:rPr>
          <w:rFonts w:cstheme="minorHAnsi"/>
        </w:rPr>
        <w:t xml:space="preserve">People First:  Social protection and Basic Services, </w:t>
      </w:r>
    </w:p>
    <w:p w14:paraId="6C8FA5F7" w14:textId="77777777" w:rsidR="008E782D" w:rsidRPr="0005210F" w:rsidRDefault="008E782D" w:rsidP="008E782D">
      <w:pPr>
        <w:pStyle w:val="ListParagraph"/>
        <w:numPr>
          <w:ilvl w:val="0"/>
          <w:numId w:val="7"/>
        </w:numPr>
        <w:spacing w:after="120" w:line="240" w:lineRule="auto"/>
        <w:contextualSpacing w:val="0"/>
        <w:rPr>
          <w:rFonts w:cstheme="minorHAnsi"/>
        </w:rPr>
      </w:pPr>
      <w:r w:rsidRPr="0005210F">
        <w:rPr>
          <w:rFonts w:cstheme="minorHAnsi"/>
        </w:rPr>
        <w:t xml:space="preserve">Economic Response and Recovery:  Protecting Jobs and MSMEs and the Informal Sector </w:t>
      </w:r>
    </w:p>
    <w:p w14:paraId="534DF460" w14:textId="77777777" w:rsidR="008E782D" w:rsidRPr="008E782D" w:rsidRDefault="008E782D" w:rsidP="008E782D">
      <w:pPr>
        <w:pStyle w:val="ListParagraph"/>
        <w:numPr>
          <w:ilvl w:val="0"/>
          <w:numId w:val="7"/>
        </w:numPr>
        <w:spacing w:after="120" w:line="240" w:lineRule="auto"/>
        <w:contextualSpacing w:val="0"/>
        <w:jc w:val="both"/>
        <w:rPr>
          <w:rFonts w:cstheme="minorHAnsi"/>
          <w:lang w:val="en-GB"/>
        </w:rPr>
      </w:pPr>
      <w:r w:rsidRPr="0005210F">
        <w:rPr>
          <w:rFonts w:cstheme="minorHAnsi"/>
        </w:rPr>
        <w:t>Macro-economic Response and Multilateral Cooperation</w:t>
      </w:r>
    </w:p>
    <w:p w14:paraId="648F8C30" w14:textId="479FAA1D" w:rsidR="008E782D" w:rsidRPr="008E782D" w:rsidRDefault="008E782D" w:rsidP="008E782D">
      <w:pPr>
        <w:pStyle w:val="ListParagraph"/>
        <w:numPr>
          <w:ilvl w:val="0"/>
          <w:numId w:val="7"/>
        </w:numPr>
        <w:spacing w:after="120" w:line="240" w:lineRule="auto"/>
        <w:contextualSpacing w:val="0"/>
        <w:jc w:val="both"/>
        <w:rPr>
          <w:rFonts w:cstheme="minorHAnsi"/>
          <w:lang w:val="en-GB"/>
        </w:rPr>
      </w:pPr>
      <w:r w:rsidRPr="008E782D">
        <w:rPr>
          <w:rFonts w:cstheme="minorHAnsi"/>
        </w:rPr>
        <w:t>Social Cohesion and Community Resilience</w:t>
      </w:r>
    </w:p>
    <w:p w14:paraId="21FC1BB7" w14:textId="50E16003" w:rsidR="008E782D" w:rsidRDefault="008E782D" w:rsidP="008E782D">
      <w:pPr>
        <w:jc w:val="both"/>
      </w:pPr>
      <w:r>
        <w:t xml:space="preserve">Specific technical capacity </w:t>
      </w:r>
      <w:r w:rsidR="00FE45C7">
        <w:t xml:space="preserve">needed to work on </w:t>
      </w:r>
      <w:r>
        <w:t xml:space="preserve">these pillars will be addressed through </w:t>
      </w:r>
      <w:r w:rsidR="006C4F70">
        <w:t xml:space="preserve">an assessment and </w:t>
      </w:r>
      <w:r>
        <w:t xml:space="preserve">tailored sessions for programme managers and staff with leadership roles within the implementation of the framework. </w:t>
      </w:r>
    </w:p>
    <w:p w14:paraId="712D3565" w14:textId="6E664984" w:rsidR="00372CEB" w:rsidRDefault="00372CEB" w:rsidP="008E782D">
      <w:pPr>
        <w:jc w:val="both"/>
      </w:pPr>
    </w:p>
    <w:p w14:paraId="651F4775" w14:textId="46429761" w:rsidR="00372CEB" w:rsidRDefault="00372CEB" w:rsidP="008E782D">
      <w:pPr>
        <w:jc w:val="both"/>
      </w:pPr>
    </w:p>
    <w:p w14:paraId="03B64A25" w14:textId="77777777" w:rsidR="00AE2994" w:rsidRDefault="00AE2994" w:rsidP="008E782D">
      <w:pPr>
        <w:jc w:val="both"/>
      </w:pPr>
    </w:p>
    <w:p w14:paraId="1CE83E20" w14:textId="21B31540" w:rsidR="340E61A7" w:rsidRDefault="340E61A7" w:rsidP="340E61A7">
      <w:pPr>
        <w:jc w:val="both"/>
      </w:pPr>
    </w:p>
    <w:p w14:paraId="3FF2B3FF" w14:textId="54DF68BB" w:rsidR="340E61A7" w:rsidRDefault="340E61A7" w:rsidP="340E61A7">
      <w:pPr>
        <w:jc w:val="both"/>
      </w:pPr>
    </w:p>
    <w:p w14:paraId="595F48FA" w14:textId="65A822BC" w:rsidR="340E61A7" w:rsidRDefault="340E61A7" w:rsidP="340E61A7">
      <w:pPr>
        <w:jc w:val="both"/>
      </w:pPr>
    </w:p>
    <w:p w14:paraId="34ACF14B" w14:textId="39616B03" w:rsidR="340E61A7" w:rsidRDefault="340E61A7" w:rsidP="340E61A7">
      <w:pPr>
        <w:jc w:val="both"/>
      </w:pPr>
    </w:p>
    <w:p w14:paraId="19E36B42" w14:textId="4496927A" w:rsidR="00C96376" w:rsidRPr="00C96376" w:rsidRDefault="00C96376" w:rsidP="00C96376">
      <w:pPr>
        <w:rPr>
          <w:b/>
          <w:bCs/>
          <w:u w:val="single"/>
        </w:rPr>
      </w:pPr>
      <w:r w:rsidRPr="00C96376">
        <w:rPr>
          <w:b/>
          <w:bCs/>
          <w:u w:val="single"/>
        </w:rPr>
        <w:t>Suggested capacity development to strengthen skills to promote gender equality in Jordan:</w:t>
      </w:r>
    </w:p>
    <w:tbl>
      <w:tblPr>
        <w:tblStyle w:val="GridTable2-Accent1"/>
        <w:tblW w:w="0" w:type="auto"/>
        <w:tblLook w:val="04A0" w:firstRow="1" w:lastRow="0" w:firstColumn="1" w:lastColumn="0" w:noHBand="0" w:noVBand="1"/>
      </w:tblPr>
      <w:tblGrid>
        <w:gridCol w:w="1890"/>
        <w:gridCol w:w="2326"/>
        <w:gridCol w:w="1576"/>
        <w:gridCol w:w="1904"/>
        <w:gridCol w:w="1664"/>
      </w:tblGrid>
      <w:tr w:rsidR="00C96376" w14:paraId="4ACFA3E7" w14:textId="7005D395" w:rsidTr="00FA2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56504D83" w14:textId="77777777" w:rsidR="00C96376" w:rsidRDefault="00C96376"/>
        </w:tc>
        <w:tc>
          <w:tcPr>
            <w:tcW w:w="2326" w:type="dxa"/>
          </w:tcPr>
          <w:p w14:paraId="61BA7D92" w14:textId="77777777" w:rsidR="00C96376" w:rsidRDefault="00C96376">
            <w:pPr>
              <w:cnfStyle w:val="100000000000" w:firstRow="1" w:lastRow="0" w:firstColumn="0" w:lastColumn="0" w:oddVBand="0" w:evenVBand="0" w:oddHBand="0" w:evenHBand="0" w:firstRowFirstColumn="0" w:firstRowLastColumn="0" w:lastRowFirstColumn="0" w:lastRowLastColumn="0"/>
            </w:pPr>
          </w:p>
        </w:tc>
        <w:tc>
          <w:tcPr>
            <w:tcW w:w="1576" w:type="dxa"/>
          </w:tcPr>
          <w:p w14:paraId="6A5B889F" w14:textId="77777777" w:rsidR="00C96376" w:rsidRDefault="00C96376">
            <w:pPr>
              <w:cnfStyle w:val="100000000000" w:firstRow="1" w:lastRow="0" w:firstColumn="0" w:lastColumn="0" w:oddVBand="0" w:evenVBand="0" w:oddHBand="0" w:evenHBand="0" w:firstRowFirstColumn="0" w:firstRowLastColumn="0" w:lastRowFirstColumn="0" w:lastRowLastColumn="0"/>
            </w:pPr>
          </w:p>
        </w:tc>
        <w:tc>
          <w:tcPr>
            <w:tcW w:w="1904" w:type="dxa"/>
          </w:tcPr>
          <w:p w14:paraId="4A7021DB" w14:textId="5F05535A" w:rsidR="00C96376" w:rsidRDefault="00C96376">
            <w:pPr>
              <w:cnfStyle w:val="100000000000" w:firstRow="1" w:lastRow="0" w:firstColumn="0" w:lastColumn="0" w:oddVBand="0" w:evenVBand="0" w:oddHBand="0" w:evenHBand="0" w:firstRowFirstColumn="0" w:firstRowLastColumn="0" w:lastRowFirstColumn="0" w:lastRowLastColumn="0"/>
            </w:pPr>
          </w:p>
        </w:tc>
        <w:tc>
          <w:tcPr>
            <w:tcW w:w="1664" w:type="dxa"/>
          </w:tcPr>
          <w:p w14:paraId="2A92DF89" w14:textId="77777777" w:rsidR="00C96376" w:rsidRDefault="00C96376">
            <w:pPr>
              <w:cnfStyle w:val="100000000000" w:firstRow="1" w:lastRow="0" w:firstColumn="0" w:lastColumn="0" w:oddVBand="0" w:evenVBand="0" w:oddHBand="0" w:evenHBand="0" w:firstRowFirstColumn="0" w:firstRowLastColumn="0" w:lastRowFirstColumn="0" w:lastRowLastColumn="0"/>
            </w:pPr>
          </w:p>
        </w:tc>
      </w:tr>
      <w:tr w:rsidR="00C96376" w14:paraId="02AB59D6" w14:textId="5F964D87" w:rsidTr="00FA2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1ACFAA7D" w14:textId="45CBE593" w:rsidR="00C96376" w:rsidRDefault="00F53CA1" w:rsidP="00C96376">
            <w:r>
              <w:t>Activities</w:t>
            </w:r>
          </w:p>
        </w:tc>
        <w:tc>
          <w:tcPr>
            <w:tcW w:w="2326" w:type="dxa"/>
          </w:tcPr>
          <w:p w14:paraId="2BCC4186" w14:textId="48D6C078" w:rsidR="00C96376" w:rsidRPr="00C96376" w:rsidRDefault="00C96376" w:rsidP="00C96376">
            <w:pPr>
              <w:cnfStyle w:val="000000100000" w:firstRow="0" w:lastRow="0" w:firstColumn="0" w:lastColumn="0" w:oddVBand="0" w:evenVBand="0" w:oddHBand="1" w:evenHBand="0" w:firstRowFirstColumn="0" w:firstRowLastColumn="0" w:lastRowFirstColumn="0" w:lastRowLastColumn="0"/>
              <w:rPr>
                <w:b/>
                <w:bCs/>
              </w:rPr>
            </w:pPr>
            <w:r w:rsidRPr="00C96376">
              <w:rPr>
                <w:b/>
                <w:bCs/>
              </w:rPr>
              <w:t>Audience</w:t>
            </w:r>
          </w:p>
        </w:tc>
        <w:tc>
          <w:tcPr>
            <w:tcW w:w="1576" w:type="dxa"/>
          </w:tcPr>
          <w:p w14:paraId="7A447A41" w14:textId="6BDBB060" w:rsidR="00C96376" w:rsidRDefault="00C96376" w:rsidP="00C96376">
            <w:pPr>
              <w:cnfStyle w:val="000000100000" w:firstRow="0" w:lastRow="0" w:firstColumn="0" w:lastColumn="0" w:oddVBand="0" w:evenVBand="0" w:oddHBand="1" w:evenHBand="0" w:firstRowFirstColumn="0" w:firstRowLastColumn="0" w:lastRowFirstColumn="0" w:lastRowLastColumn="0"/>
              <w:rPr>
                <w:b/>
                <w:bCs/>
              </w:rPr>
            </w:pPr>
            <w:r>
              <w:rPr>
                <w:b/>
                <w:bCs/>
              </w:rPr>
              <w:t>Modality</w:t>
            </w:r>
          </w:p>
        </w:tc>
        <w:tc>
          <w:tcPr>
            <w:tcW w:w="1904" w:type="dxa"/>
          </w:tcPr>
          <w:p w14:paraId="55FA696D" w14:textId="54952F4D" w:rsidR="00C96376" w:rsidRPr="00C96376" w:rsidRDefault="00C96376" w:rsidP="00C96376">
            <w:pPr>
              <w:cnfStyle w:val="000000100000" w:firstRow="0" w:lastRow="0" w:firstColumn="0" w:lastColumn="0" w:oddVBand="0" w:evenVBand="0" w:oddHBand="1" w:evenHBand="0" w:firstRowFirstColumn="0" w:firstRowLastColumn="0" w:lastRowFirstColumn="0" w:lastRowLastColumn="0"/>
              <w:rPr>
                <w:b/>
                <w:bCs/>
              </w:rPr>
            </w:pPr>
            <w:r>
              <w:rPr>
                <w:b/>
                <w:bCs/>
              </w:rPr>
              <w:t>Facilitation</w:t>
            </w:r>
          </w:p>
        </w:tc>
        <w:tc>
          <w:tcPr>
            <w:tcW w:w="1664" w:type="dxa"/>
          </w:tcPr>
          <w:p w14:paraId="24292E2E" w14:textId="78DD1718" w:rsidR="00C96376" w:rsidRPr="00C96376" w:rsidRDefault="00C96376" w:rsidP="00C96376">
            <w:pPr>
              <w:cnfStyle w:val="000000100000" w:firstRow="0" w:lastRow="0" w:firstColumn="0" w:lastColumn="0" w:oddVBand="0" w:evenVBand="0" w:oddHBand="1" w:evenHBand="0" w:firstRowFirstColumn="0" w:firstRowLastColumn="0" w:lastRowFirstColumn="0" w:lastRowLastColumn="0"/>
              <w:rPr>
                <w:b/>
                <w:bCs/>
              </w:rPr>
            </w:pPr>
            <w:r w:rsidRPr="00C96376">
              <w:rPr>
                <w:b/>
                <w:bCs/>
              </w:rPr>
              <w:t>Tentative roll out</w:t>
            </w:r>
          </w:p>
        </w:tc>
      </w:tr>
      <w:tr w:rsidR="008E782D" w:rsidRPr="008540F2" w14:paraId="5F800CB6" w14:textId="77777777" w:rsidTr="00FA2BB2">
        <w:tc>
          <w:tcPr>
            <w:cnfStyle w:val="001000000000" w:firstRow="0" w:lastRow="0" w:firstColumn="1" w:lastColumn="0" w:oddVBand="0" w:evenVBand="0" w:oddHBand="0" w:evenHBand="0" w:firstRowFirstColumn="0" w:firstRowLastColumn="0" w:lastRowFirstColumn="0" w:lastRowLastColumn="0"/>
            <w:tcW w:w="1890" w:type="dxa"/>
          </w:tcPr>
          <w:p w14:paraId="755CAEDE" w14:textId="4DC172D5" w:rsidR="008E782D" w:rsidRDefault="008E782D" w:rsidP="00C96376">
            <w:r>
              <w:t>Session on the</w:t>
            </w:r>
            <w:r w:rsidR="00247E7C">
              <w:t xml:space="preserve"> national GEWE commitments and links to international </w:t>
            </w:r>
            <w:r w:rsidR="00F655E9">
              <w:t xml:space="preserve">normative and policy frameworks </w:t>
            </w:r>
            <w:r w:rsidR="00247E7C">
              <w:t xml:space="preserve"> </w:t>
            </w:r>
            <w:r>
              <w:t xml:space="preserve"> </w:t>
            </w:r>
          </w:p>
        </w:tc>
        <w:tc>
          <w:tcPr>
            <w:tcW w:w="2326" w:type="dxa"/>
          </w:tcPr>
          <w:p w14:paraId="7FAD66B1" w14:textId="5C4FAC8E" w:rsidR="008E782D" w:rsidRPr="008540F2" w:rsidRDefault="00F655E9" w:rsidP="00C96376">
            <w:pPr>
              <w:cnfStyle w:val="000000000000" w:firstRow="0" w:lastRow="0" w:firstColumn="0" w:lastColumn="0" w:oddVBand="0" w:evenVBand="0" w:oddHBand="0" w:evenHBand="0" w:firstRowFirstColumn="0" w:firstRowLastColumn="0" w:lastRowFirstColumn="0" w:lastRowLastColumn="0"/>
              <w:rPr>
                <w:b/>
                <w:bCs/>
                <w:lang w:val="fr-FR"/>
              </w:rPr>
            </w:pPr>
            <w:r w:rsidRPr="008540F2">
              <w:rPr>
                <w:lang w:val="fr-FR"/>
              </w:rPr>
              <w:t xml:space="preserve">Gender Focal Points, </w:t>
            </w:r>
            <w:r w:rsidR="000062B1">
              <w:rPr>
                <w:lang w:val="fr-FR"/>
              </w:rPr>
              <w:t>P</w:t>
            </w:r>
            <w:r w:rsidRPr="008540F2">
              <w:rPr>
                <w:lang w:val="fr-FR"/>
              </w:rPr>
              <w:t xml:space="preserve">rogramme </w:t>
            </w:r>
            <w:r w:rsidR="000062B1">
              <w:rPr>
                <w:lang w:val="fr-FR"/>
              </w:rPr>
              <w:t>M</w:t>
            </w:r>
            <w:r w:rsidR="008540F2">
              <w:rPr>
                <w:lang w:val="fr-FR"/>
              </w:rPr>
              <w:t xml:space="preserve">anagers </w:t>
            </w:r>
          </w:p>
        </w:tc>
        <w:tc>
          <w:tcPr>
            <w:tcW w:w="1576" w:type="dxa"/>
          </w:tcPr>
          <w:p w14:paraId="3A4991CE" w14:textId="6DC9C80B" w:rsidR="008E782D" w:rsidRPr="00080E99" w:rsidRDefault="00080E99" w:rsidP="00C96376">
            <w:pPr>
              <w:cnfStyle w:val="000000000000" w:firstRow="0" w:lastRow="0" w:firstColumn="0" w:lastColumn="0" w:oddVBand="0" w:evenVBand="0" w:oddHBand="0" w:evenHBand="0" w:firstRowFirstColumn="0" w:firstRowLastColumn="0" w:lastRowFirstColumn="0" w:lastRowLastColumn="0"/>
              <w:rPr>
                <w:lang w:val="fr-FR"/>
              </w:rPr>
            </w:pPr>
            <w:r w:rsidRPr="00080E99">
              <w:rPr>
                <w:lang w:val="fr-FR"/>
              </w:rPr>
              <w:t>Online</w:t>
            </w:r>
          </w:p>
        </w:tc>
        <w:tc>
          <w:tcPr>
            <w:tcW w:w="1904" w:type="dxa"/>
          </w:tcPr>
          <w:p w14:paraId="336B6F44" w14:textId="49F7D3F0" w:rsidR="008E782D" w:rsidRPr="00F53CA1" w:rsidRDefault="00080E99" w:rsidP="00C96376">
            <w:pPr>
              <w:cnfStyle w:val="000000000000" w:firstRow="0" w:lastRow="0" w:firstColumn="0" w:lastColumn="0" w:oddVBand="0" w:evenVBand="0" w:oddHBand="0" w:evenHBand="0" w:firstRowFirstColumn="0" w:firstRowLastColumn="0" w:lastRowFirstColumn="0" w:lastRowLastColumn="0"/>
              <w:rPr>
                <w:lang w:val="fr-FR"/>
              </w:rPr>
            </w:pPr>
            <w:r w:rsidRPr="00F53CA1">
              <w:rPr>
                <w:lang w:val="fr-FR"/>
              </w:rPr>
              <w:t xml:space="preserve">UN Women </w:t>
            </w:r>
          </w:p>
        </w:tc>
        <w:tc>
          <w:tcPr>
            <w:tcW w:w="1664" w:type="dxa"/>
          </w:tcPr>
          <w:p w14:paraId="3B985EF7" w14:textId="6BDAF18E" w:rsidR="008E782D" w:rsidRPr="008540F2" w:rsidRDefault="00BF1E54" w:rsidP="00C96376">
            <w:pPr>
              <w:cnfStyle w:val="000000000000" w:firstRow="0" w:lastRow="0" w:firstColumn="0" w:lastColumn="0" w:oddVBand="0" w:evenVBand="0" w:oddHBand="0" w:evenHBand="0" w:firstRowFirstColumn="0" w:firstRowLastColumn="0" w:lastRowFirstColumn="0" w:lastRowLastColumn="0"/>
              <w:rPr>
                <w:b/>
                <w:bCs/>
                <w:lang w:val="fr-FR"/>
              </w:rPr>
            </w:pPr>
            <w:r>
              <w:t>TBC</w:t>
            </w:r>
          </w:p>
        </w:tc>
      </w:tr>
      <w:tr w:rsidR="00C96376" w14:paraId="63DC2AFE" w14:textId="5ADD5108" w:rsidTr="00FA2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6C68A8CA" w14:textId="3790ECDD" w:rsidR="00C96376" w:rsidRDefault="00C96376" w:rsidP="00C96376">
            <w:r>
              <w:t>COVID-19,</w:t>
            </w:r>
            <w:r w:rsidR="00966E64">
              <w:t xml:space="preserve"> the Socioeconomic Framework</w:t>
            </w:r>
            <w:r w:rsidR="006B69E7">
              <w:t>,</w:t>
            </w:r>
            <w:r>
              <w:t xml:space="preserve"> </w:t>
            </w:r>
            <w:proofErr w:type="gramStart"/>
            <w:r>
              <w:t>intersectionality</w:t>
            </w:r>
            <w:proofErr w:type="gramEnd"/>
            <w:r>
              <w:t xml:space="preserve"> and gender data</w:t>
            </w:r>
          </w:p>
          <w:p w14:paraId="02A2150D" w14:textId="77777777" w:rsidR="00C96376" w:rsidRDefault="00C96376" w:rsidP="00C96376"/>
        </w:tc>
        <w:tc>
          <w:tcPr>
            <w:tcW w:w="2326" w:type="dxa"/>
          </w:tcPr>
          <w:p w14:paraId="1F0E50F2" w14:textId="0C46C17F" w:rsidR="00C96376" w:rsidRDefault="006B69E7" w:rsidP="00C96376">
            <w:pPr>
              <w:cnfStyle w:val="000000100000" w:firstRow="0" w:lastRow="0" w:firstColumn="0" w:lastColumn="0" w:oddVBand="0" w:evenVBand="0" w:oddHBand="1" w:evenHBand="0" w:firstRowFirstColumn="0" w:firstRowLastColumn="0" w:lastRowFirstColumn="0" w:lastRowLastColumn="0"/>
            </w:pPr>
            <w:r>
              <w:t xml:space="preserve">Gender Focal Points, </w:t>
            </w:r>
            <w:r w:rsidR="000A5466">
              <w:rPr>
                <w:lang w:val="fr-FR"/>
              </w:rPr>
              <w:t>P</w:t>
            </w:r>
            <w:r w:rsidR="000A5466" w:rsidRPr="008540F2">
              <w:rPr>
                <w:lang w:val="fr-FR"/>
              </w:rPr>
              <w:t xml:space="preserve">rogramme </w:t>
            </w:r>
            <w:r w:rsidR="000A5466">
              <w:rPr>
                <w:lang w:val="fr-FR"/>
              </w:rPr>
              <w:t xml:space="preserve">Managers, </w:t>
            </w:r>
            <w:proofErr w:type="spellStart"/>
            <w:r>
              <w:t>HoA</w:t>
            </w:r>
            <w:proofErr w:type="spellEnd"/>
            <w:r w:rsidR="002D1D28">
              <w:t>, RCO</w:t>
            </w:r>
          </w:p>
        </w:tc>
        <w:tc>
          <w:tcPr>
            <w:tcW w:w="1576" w:type="dxa"/>
          </w:tcPr>
          <w:p w14:paraId="67246D28" w14:textId="46651FF9" w:rsidR="00C96376" w:rsidRPr="00C96376" w:rsidRDefault="00C96376" w:rsidP="00C96376">
            <w:pPr>
              <w:cnfStyle w:val="000000100000" w:firstRow="0" w:lastRow="0" w:firstColumn="0" w:lastColumn="0" w:oddVBand="0" w:evenVBand="0" w:oddHBand="1" w:evenHBand="0" w:firstRowFirstColumn="0" w:firstRowLastColumn="0" w:lastRowFirstColumn="0" w:lastRowLastColumn="0"/>
            </w:pPr>
            <w:r>
              <w:t>Customized</w:t>
            </w:r>
            <w:r w:rsidR="001516AA">
              <w:t xml:space="preserve"> sessions for each target group,</w:t>
            </w:r>
            <w:r>
              <w:t xml:space="preserve"> online</w:t>
            </w:r>
          </w:p>
        </w:tc>
        <w:tc>
          <w:tcPr>
            <w:tcW w:w="1904" w:type="dxa"/>
          </w:tcPr>
          <w:p w14:paraId="03440764" w14:textId="62F641FE" w:rsidR="00C96376" w:rsidRDefault="00C96376" w:rsidP="00C96376">
            <w:pPr>
              <w:cnfStyle w:val="000000100000" w:firstRow="0" w:lastRow="0" w:firstColumn="0" w:lastColumn="0" w:oddVBand="0" w:evenVBand="0" w:oddHBand="1" w:evenHBand="0" w:firstRowFirstColumn="0" w:firstRowLastColumn="0" w:lastRowFirstColumn="0" w:lastRowLastColumn="0"/>
            </w:pPr>
            <w:r>
              <w:t>UN Women Jordan COVID</w:t>
            </w:r>
            <w:r w:rsidR="000D078A">
              <w:t>,</w:t>
            </w:r>
            <w:r>
              <w:t xml:space="preserve"> gender and intersectionality expert</w:t>
            </w:r>
          </w:p>
        </w:tc>
        <w:tc>
          <w:tcPr>
            <w:tcW w:w="1664" w:type="dxa"/>
          </w:tcPr>
          <w:p w14:paraId="777A9431" w14:textId="572B6E49" w:rsidR="00C96376" w:rsidRDefault="00C96376" w:rsidP="00C96376">
            <w:pPr>
              <w:cnfStyle w:val="000000100000" w:firstRow="0" w:lastRow="0" w:firstColumn="0" w:lastColumn="0" w:oddVBand="0" w:evenVBand="0" w:oddHBand="1" w:evenHBand="0" w:firstRowFirstColumn="0" w:firstRowLastColumn="0" w:lastRowFirstColumn="0" w:lastRowLastColumn="0"/>
            </w:pPr>
            <w:r>
              <w:t xml:space="preserve">August 2020 </w:t>
            </w:r>
          </w:p>
        </w:tc>
      </w:tr>
      <w:tr w:rsidR="00C96376" w14:paraId="1460D0FC" w14:textId="34941868" w:rsidTr="00FA2BB2">
        <w:tc>
          <w:tcPr>
            <w:cnfStyle w:val="001000000000" w:firstRow="0" w:lastRow="0" w:firstColumn="1" w:lastColumn="0" w:oddVBand="0" w:evenVBand="0" w:oddHBand="0" w:evenHBand="0" w:firstRowFirstColumn="0" w:firstRowLastColumn="0" w:lastRowFirstColumn="0" w:lastRowLastColumn="0"/>
            <w:tcW w:w="1890" w:type="dxa"/>
          </w:tcPr>
          <w:p w14:paraId="4448A4FC" w14:textId="7C6A5200" w:rsidR="00C96376" w:rsidRDefault="00C96376" w:rsidP="00C96376">
            <w:r>
              <w:t>Gender and communications</w:t>
            </w:r>
          </w:p>
        </w:tc>
        <w:tc>
          <w:tcPr>
            <w:tcW w:w="2326" w:type="dxa"/>
          </w:tcPr>
          <w:p w14:paraId="31EE37FB" w14:textId="36784C4B" w:rsidR="00C96376" w:rsidRDefault="00C96376" w:rsidP="00C96376">
            <w:pPr>
              <w:cnfStyle w:val="000000000000" w:firstRow="0" w:lastRow="0" w:firstColumn="0" w:lastColumn="0" w:oddVBand="0" w:evenVBand="0" w:oddHBand="0" w:evenHBand="0" w:firstRowFirstColumn="0" w:firstRowLastColumn="0" w:lastRowFirstColumn="0" w:lastRowLastColumn="0"/>
            </w:pPr>
            <w:r>
              <w:t xml:space="preserve">Communications staff, RCO, </w:t>
            </w:r>
            <w:r w:rsidR="00625DE1">
              <w:t>Gender Focal Points</w:t>
            </w:r>
          </w:p>
        </w:tc>
        <w:tc>
          <w:tcPr>
            <w:tcW w:w="1576" w:type="dxa"/>
          </w:tcPr>
          <w:p w14:paraId="70EDB17B" w14:textId="330F5A0A" w:rsidR="00C96376" w:rsidRPr="00C96376" w:rsidRDefault="00C96376" w:rsidP="00C96376">
            <w:pPr>
              <w:cnfStyle w:val="000000000000" w:firstRow="0" w:lastRow="0" w:firstColumn="0" w:lastColumn="0" w:oddVBand="0" w:evenVBand="0" w:oddHBand="0" w:evenHBand="0" w:firstRowFirstColumn="0" w:firstRowLastColumn="0" w:lastRowFirstColumn="0" w:lastRowLastColumn="0"/>
              <w:rPr>
                <w:i/>
                <w:iCs/>
              </w:rPr>
            </w:pPr>
            <w:r>
              <w:t>Customized, online</w:t>
            </w:r>
          </w:p>
        </w:tc>
        <w:tc>
          <w:tcPr>
            <w:tcW w:w="1904" w:type="dxa"/>
          </w:tcPr>
          <w:p w14:paraId="1AE66942" w14:textId="680F6036" w:rsidR="00C96376" w:rsidRDefault="00C96376" w:rsidP="00C96376">
            <w:pPr>
              <w:cnfStyle w:val="000000000000" w:firstRow="0" w:lastRow="0" w:firstColumn="0" w:lastColumn="0" w:oddVBand="0" w:evenVBand="0" w:oddHBand="0" w:evenHBand="0" w:firstRowFirstColumn="0" w:firstRowLastColumn="0" w:lastRowFirstColumn="0" w:lastRowLastColumn="0"/>
            </w:pPr>
            <w:r>
              <w:t>UN Women Regional Office for the Arab States</w:t>
            </w:r>
          </w:p>
        </w:tc>
        <w:tc>
          <w:tcPr>
            <w:tcW w:w="1664" w:type="dxa"/>
          </w:tcPr>
          <w:p w14:paraId="30792A52" w14:textId="5E8A1533" w:rsidR="00C96376" w:rsidRDefault="00C96376" w:rsidP="00C96376">
            <w:pPr>
              <w:cnfStyle w:val="000000000000" w:firstRow="0" w:lastRow="0" w:firstColumn="0" w:lastColumn="0" w:oddVBand="0" w:evenVBand="0" w:oddHBand="0" w:evenHBand="0" w:firstRowFirstColumn="0" w:firstRowLastColumn="0" w:lastRowFirstColumn="0" w:lastRowLastColumn="0"/>
            </w:pPr>
            <w:r>
              <w:t>TBC</w:t>
            </w:r>
          </w:p>
        </w:tc>
      </w:tr>
      <w:tr w:rsidR="00C96376" w14:paraId="51230845" w14:textId="77777777" w:rsidTr="00FA2B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0" w:type="dxa"/>
          </w:tcPr>
          <w:p w14:paraId="3B1B13D3" w14:textId="710F6FDC" w:rsidR="00C96376" w:rsidRDefault="00C96376" w:rsidP="00C96376">
            <w:r>
              <w:t>UNCT Gender Markers</w:t>
            </w:r>
          </w:p>
        </w:tc>
        <w:tc>
          <w:tcPr>
            <w:tcW w:w="2326" w:type="dxa"/>
          </w:tcPr>
          <w:p w14:paraId="18D4651D" w14:textId="4D6E5450" w:rsidR="00C96376" w:rsidRDefault="00625DE1" w:rsidP="00C96376">
            <w:pPr>
              <w:cnfStyle w:val="000000100000" w:firstRow="0" w:lastRow="0" w:firstColumn="0" w:lastColumn="0" w:oddVBand="0" w:evenVBand="0" w:oddHBand="1" w:evenHBand="0" w:firstRowFirstColumn="0" w:firstRowLastColumn="0" w:lastRowFirstColumn="0" w:lastRowLastColumn="0"/>
            </w:pPr>
            <w:r>
              <w:t xml:space="preserve">Gender Focal Points, </w:t>
            </w:r>
            <w:r w:rsidR="00C96376">
              <w:t>programme managers, M&amp;E staff</w:t>
            </w:r>
          </w:p>
        </w:tc>
        <w:tc>
          <w:tcPr>
            <w:tcW w:w="1576" w:type="dxa"/>
          </w:tcPr>
          <w:p w14:paraId="54D9099C" w14:textId="6D029E63" w:rsidR="00C96376" w:rsidRDefault="00FA2BB2" w:rsidP="00C96376">
            <w:pPr>
              <w:cnfStyle w:val="000000100000" w:firstRow="0" w:lastRow="0" w:firstColumn="0" w:lastColumn="0" w:oddVBand="0" w:evenVBand="0" w:oddHBand="1" w:evenHBand="0" w:firstRowFirstColumn="0" w:firstRowLastColumn="0" w:lastRowFirstColumn="0" w:lastRowLastColumn="0"/>
            </w:pPr>
            <w:r>
              <w:t>C</w:t>
            </w:r>
            <w:r w:rsidR="00C96376">
              <w:t xml:space="preserve">ustomized </w:t>
            </w:r>
            <w:r>
              <w:t xml:space="preserve">training </w:t>
            </w:r>
            <w:r w:rsidR="00C96376">
              <w:t>sessions to shape UN Joint roll out plan</w:t>
            </w:r>
          </w:p>
        </w:tc>
        <w:tc>
          <w:tcPr>
            <w:tcW w:w="1904" w:type="dxa"/>
          </w:tcPr>
          <w:p w14:paraId="2737CCBF" w14:textId="1C4E8850" w:rsidR="00C96376" w:rsidRDefault="00C96376" w:rsidP="00C96376">
            <w:pPr>
              <w:cnfStyle w:val="000000100000" w:firstRow="0" w:lastRow="0" w:firstColumn="0" w:lastColumn="0" w:oddVBand="0" w:evenVBand="0" w:oddHBand="1" w:evenHBand="0" w:firstRowFirstColumn="0" w:firstRowLastColumn="0" w:lastRowFirstColumn="0" w:lastRowLastColumn="0"/>
            </w:pPr>
            <w:r>
              <w:t>UN Women</w:t>
            </w:r>
            <w:r w:rsidR="000D078A">
              <w:t xml:space="preserve"> and RCO</w:t>
            </w:r>
          </w:p>
        </w:tc>
        <w:tc>
          <w:tcPr>
            <w:tcW w:w="1664" w:type="dxa"/>
          </w:tcPr>
          <w:p w14:paraId="22B6929B" w14:textId="0BD03324" w:rsidR="00C96376" w:rsidRDefault="000D078A" w:rsidP="00C96376">
            <w:pPr>
              <w:cnfStyle w:val="000000100000" w:firstRow="0" w:lastRow="0" w:firstColumn="0" w:lastColumn="0" w:oddVBand="0" w:evenVBand="0" w:oddHBand="1" w:evenHBand="0" w:firstRowFirstColumn="0" w:firstRowLastColumn="0" w:lastRowFirstColumn="0" w:lastRowLastColumn="0"/>
            </w:pPr>
            <w:proofErr w:type="gramStart"/>
            <w:r>
              <w:t xml:space="preserve">December </w:t>
            </w:r>
            <w:r w:rsidR="00BF1E54">
              <w:t xml:space="preserve"> </w:t>
            </w:r>
            <w:r w:rsidR="00C96376">
              <w:t>2020</w:t>
            </w:r>
            <w:proofErr w:type="gramEnd"/>
            <w:r>
              <w:t>- January 2021</w:t>
            </w:r>
            <w:r w:rsidR="00C96376">
              <w:t xml:space="preserve"> (TBC)</w:t>
            </w:r>
          </w:p>
        </w:tc>
      </w:tr>
      <w:tr w:rsidR="00C96376" w14:paraId="0EE31E44" w14:textId="77777777" w:rsidTr="00FA2BB2">
        <w:tc>
          <w:tcPr>
            <w:cnfStyle w:val="001000000000" w:firstRow="0" w:lastRow="0" w:firstColumn="1" w:lastColumn="0" w:oddVBand="0" w:evenVBand="0" w:oddHBand="0" w:evenHBand="0" w:firstRowFirstColumn="0" w:firstRowLastColumn="0" w:lastRowFirstColumn="0" w:lastRowLastColumn="0"/>
            <w:tcW w:w="1890" w:type="dxa"/>
          </w:tcPr>
          <w:p w14:paraId="20BCFD1B" w14:textId="3C6DED00" w:rsidR="00C96376" w:rsidRDefault="00C96376" w:rsidP="00C96376">
            <w:r>
              <w:t>UNCT SWAP Gender Equality Scorecard training</w:t>
            </w:r>
          </w:p>
        </w:tc>
        <w:tc>
          <w:tcPr>
            <w:tcW w:w="2326" w:type="dxa"/>
          </w:tcPr>
          <w:p w14:paraId="0D46C057" w14:textId="39319203" w:rsidR="00C96376" w:rsidRDefault="00C96376" w:rsidP="00C96376">
            <w:pPr>
              <w:cnfStyle w:val="000000000000" w:firstRow="0" w:lastRow="0" w:firstColumn="0" w:lastColumn="0" w:oddVBand="0" w:evenVBand="0" w:oddHBand="0" w:evenHBand="0" w:firstRowFirstColumn="0" w:firstRowLastColumn="0" w:lastRowFirstColumn="0" w:lastRowLastColumn="0"/>
            </w:pPr>
            <w:r>
              <w:t xml:space="preserve">RCOs, Results Groups Chairs, </w:t>
            </w:r>
            <w:r w:rsidR="00625DE1">
              <w:t>Gender Focal Points</w:t>
            </w:r>
          </w:p>
        </w:tc>
        <w:tc>
          <w:tcPr>
            <w:tcW w:w="1576" w:type="dxa"/>
          </w:tcPr>
          <w:p w14:paraId="67ED0207" w14:textId="58311DD8" w:rsidR="00C96376" w:rsidRPr="00C96376" w:rsidRDefault="00C96376" w:rsidP="00C96376">
            <w:pPr>
              <w:cnfStyle w:val="000000000000" w:firstRow="0" w:lastRow="0" w:firstColumn="0" w:lastColumn="0" w:oddVBand="0" w:evenVBand="0" w:oddHBand="0" w:evenHBand="0" w:firstRowFirstColumn="0" w:firstRowLastColumn="0" w:lastRowFirstColumn="0" w:lastRowLastColumn="0"/>
            </w:pPr>
            <w:r>
              <w:t>Customized, online</w:t>
            </w:r>
          </w:p>
        </w:tc>
        <w:tc>
          <w:tcPr>
            <w:tcW w:w="1904" w:type="dxa"/>
          </w:tcPr>
          <w:p w14:paraId="6E4D80AD" w14:textId="3C4E497B" w:rsidR="00C96376" w:rsidRDefault="00C96376" w:rsidP="00C96376">
            <w:pPr>
              <w:cnfStyle w:val="000000000000" w:firstRow="0" w:lastRow="0" w:firstColumn="0" w:lastColumn="0" w:oddVBand="0" w:evenVBand="0" w:oddHBand="0" w:evenHBand="0" w:firstRowFirstColumn="0" w:firstRowLastColumn="0" w:lastRowFirstColumn="0" w:lastRowLastColumn="0"/>
            </w:pPr>
            <w:r>
              <w:t>UN Women HQ/Regional Office for the Arab States</w:t>
            </w:r>
          </w:p>
        </w:tc>
        <w:tc>
          <w:tcPr>
            <w:tcW w:w="1664" w:type="dxa"/>
          </w:tcPr>
          <w:p w14:paraId="2E4E5A18" w14:textId="44E516CE" w:rsidR="00C96376" w:rsidRDefault="00BF1E54" w:rsidP="00C96376">
            <w:pPr>
              <w:cnfStyle w:val="000000000000" w:firstRow="0" w:lastRow="0" w:firstColumn="0" w:lastColumn="0" w:oddVBand="0" w:evenVBand="0" w:oddHBand="0" w:evenHBand="0" w:firstRowFirstColumn="0" w:firstRowLastColumn="0" w:lastRowFirstColumn="0" w:lastRowLastColumn="0"/>
            </w:pPr>
            <w:r>
              <w:t xml:space="preserve">September </w:t>
            </w:r>
            <w:r w:rsidR="00C96376">
              <w:t xml:space="preserve">2020 </w:t>
            </w:r>
          </w:p>
        </w:tc>
      </w:tr>
    </w:tbl>
    <w:p w14:paraId="22058A1A" w14:textId="77777777" w:rsidR="00C96376" w:rsidRDefault="00C96376"/>
    <w:sectPr w:rsidR="00C96376" w:rsidSect="00643755">
      <w:headerReference w:type="even" r:id="rId14"/>
      <w:headerReference w:type="default" r:id="rId15"/>
      <w:foot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6C0DA" w14:textId="77777777" w:rsidR="00E976BF" w:rsidRDefault="00E976BF" w:rsidP="00C96376">
      <w:pPr>
        <w:spacing w:after="0" w:line="240" w:lineRule="auto"/>
      </w:pPr>
      <w:r>
        <w:separator/>
      </w:r>
    </w:p>
  </w:endnote>
  <w:endnote w:type="continuationSeparator" w:id="0">
    <w:p w14:paraId="49DC6BA5" w14:textId="77777777" w:rsidR="00E976BF" w:rsidRDefault="00E976BF" w:rsidP="00C9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975520"/>
      <w:docPartObj>
        <w:docPartGallery w:val="Page Numbers (Bottom of Page)"/>
        <w:docPartUnique/>
      </w:docPartObj>
    </w:sdtPr>
    <w:sdtEndPr>
      <w:rPr>
        <w:noProof/>
      </w:rPr>
    </w:sdtEndPr>
    <w:sdtContent>
      <w:p w14:paraId="7E6E31C4" w14:textId="7088EC52" w:rsidR="00CF1DCD" w:rsidRDefault="00CF1D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B8959" w14:textId="77777777" w:rsidR="00570378" w:rsidRDefault="00570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B448" w14:textId="77777777" w:rsidR="00E976BF" w:rsidRDefault="00E976BF" w:rsidP="00C96376">
      <w:pPr>
        <w:spacing w:after="0" w:line="240" w:lineRule="auto"/>
      </w:pPr>
      <w:r>
        <w:separator/>
      </w:r>
    </w:p>
  </w:footnote>
  <w:footnote w:type="continuationSeparator" w:id="0">
    <w:p w14:paraId="0A5F4FF3" w14:textId="77777777" w:rsidR="00E976BF" w:rsidRDefault="00E976BF" w:rsidP="00C96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CDD2" w14:textId="26C5E0E3" w:rsidR="00570378" w:rsidRDefault="00570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1BE1" w14:textId="10511DA3" w:rsidR="00C96376" w:rsidRPr="00C96376" w:rsidRDefault="00C96376" w:rsidP="003D4B45">
    <w:pPr>
      <w:pStyle w:val="Header"/>
    </w:pPr>
    <w:r w:rsidRPr="00A62DD4">
      <w:rPr>
        <w:noProof/>
      </w:rPr>
      <w:drawing>
        <wp:anchor distT="0" distB="0" distL="114300" distR="114300" simplePos="0" relativeHeight="251664384" behindDoc="0" locked="0" layoutInCell="1" allowOverlap="1" wp14:anchorId="6135EDC7" wp14:editId="60E0EE50">
          <wp:simplePos x="0" y="0"/>
          <wp:positionH relativeFrom="column">
            <wp:posOffset>0</wp:posOffset>
          </wp:positionH>
          <wp:positionV relativeFrom="paragraph">
            <wp:posOffset>0</wp:posOffset>
          </wp:positionV>
          <wp:extent cx="2922270" cy="817245"/>
          <wp:effectExtent l="0" t="0" r="0" b="1905"/>
          <wp:wrapTopAndBottom/>
          <wp:docPr id="1" name="Picture 10">
            <a:extLst xmlns:a="http://schemas.openxmlformats.org/drawingml/2006/main">
              <a:ext uri="{FF2B5EF4-FFF2-40B4-BE49-F238E27FC236}">
                <a16:creationId xmlns:a16="http://schemas.microsoft.com/office/drawing/2014/main" id="{87761A58-BF4A-AF4D-9FB7-5BA7A3BD40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87761A58-BF4A-AF4D-9FB7-5BA7A3BD4085}"/>
                      </a:ext>
                    </a:extLst>
                  </pic:cNvPr>
                  <pic:cNvPicPr>
                    <a:picLocks noChangeAspect="1"/>
                  </pic:cNvPicPr>
                </pic:nvPicPr>
                <pic:blipFill>
                  <a:blip r:embed="rId1" cstate="screen">
                    <a:extLst>
                      <a:ext uri="{28A0092B-C50C-407E-A947-70E740481C1C}">
                        <a14:useLocalDpi xmlns:a14="http://schemas.microsoft.com/office/drawing/2010/main" val="0"/>
                      </a:ext>
                    </a:extLst>
                  </a:blip>
                  <a:stretch>
                    <a:fillRect/>
                  </a:stretch>
                </pic:blipFill>
                <pic:spPr>
                  <a:xfrm>
                    <a:off x="0" y="0"/>
                    <a:ext cx="2922270" cy="817245"/>
                  </a:xfrm>
                  <a:prstGeom prst="rect">
                    <a:avLst/>
                  </a:prstGeom>
                </pic:spPr>
              </pic:pic>
            </a:graphicData>
          </a:graphic>
        </wp:anchor>
      </w:drawing>
    </w:r>
    <w:r w:rsidR="002721AC">
      <w:tab/>
    </w:r>
    <w:r w:rsidR="002721A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6AA9" w14:textId="1E22593B" w:rsidR="00570378" w:rsidRDefault="00570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2125"/>
    <w:multiLevelType w:val="hybridMultilevel"/>
    <w:tmpl w:val="8F66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E09A0"/>
    <w:multiLevelType w:val="hybridMultilevel"/>
    <w:tmpl w:val="EA50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70897"/>
    <w:multiLevelType w:val="hybridMultilevel"/>
    <w:tmpl w:val="8A78A138"/>
    <w:lvl w:ilvl="0" w:tplc="1E9A65C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99283D"/>
    <w:multiLevelType w:val="hybridMultilevel"/>
    <w:tmpl w:val="6C42B926"/>
    <w:lvl w:ilvl="0" w:tplc="007E3F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33187F"/>
    <w:multiLevelType w:val="hybridMultilevel"/>
    <w:tmpl w:val="CB0E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150F8"/>
    <w:multiLevelType w:val="hybridMultilevel"/>
    <w:tmpl w:val="2132F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AA08DB"/>
    <w:multiLevelType w:val="hybridMultilevel"/>
    <w:tmpl w:val="CA14E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2C17B8"/>
    <w:multiLevelType w:val="hybridMultilevel"/>
    <w:tmpl w:val="280C9A9A"/>
    <w:lvl w:ilvl="0" w:tplc="71A64E6E">
      <w:start w:val="1"/>
      <w:numFmt w:val="upperRoman"/>
      <w:lvlText w:val="%1."/>
      <w:lvlJc w:val="left"/>
      <w:pPr>
        <w:ind w:left="1080" w:hanging="72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6369E"/>
    <w:multiLevelType w:val="hybridMultilevel"/>
    <w:tmpl w:val="AE2EB056"/>
    <w:lvl w:ilvl="0" w:tplc="D52CB9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8800177">
    <w:abstractNumId w:val="8"/>
  </w:num>
  <w:num w:numId="2" w16cid:durableId="1728869192">
    <w:abstractNumId w:val="2"/>
  </w:num>
  <w:num w:numId="3" w16cid:durableId="2039355341">
    <w:abstractNumId w:val="3"/>
  </w:num>
  <w:num w:numId="4" w16cid:durableId="819923734">
    <w:abstractNumId w:val="6"/>
  </w:num>
  <w:num w:numId="5" w16cid:durableId="2085032716">
    <w:abstractNumId w:val="5"/>
  </w:num>
  <w:num w:numId="6" w16cid:durableId="547689763">
    <w:abstractNumId w:val="1"/>
  </w:num>
  <w:num w:numId="7" w16cid:durableId="1145391731">
    <w:abstractNumId w:val="7"/>
  </w:num>
  <w:num w:numId="8" w16cid:durableId="397827416">
    <w:abstractNumId w:val="0"/>
  </w:num>
  <w:num w:numId="9" w16cid:durableId="7212499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6"/>
    <w:rsid w:val="000062B1"/>
    <w:rsid w:val="00080E99"/>
    <w:rsid w:val="000A5466"/>
    <w:rsid w:val="000D078A"/>
    <w:rsid w:val="00127EBD"/>
    <w:rsid w:val="001516AA"/>
    <w:rsid w:val="002321FF"/>
    <w:rsid w:val="00247E7C"/>
    <w:rsid w:val="002721AC"/>
    <w:rsid w:val="002D1D28"/>
    <w:rsid w:val="00331287"/>
    <w:rsid w:val="00351484"/>
    <w:rsid w:val="003633A5"/>
    <w:rsid w:val="00372CEB"/>
    <w:rsid w:val="003D4B45"/>
    <w:rsid w:val="003E15B1"/>
    <w:rsid w:val="005268AC"/>
    <w:rsid w:val="00570378"/>
    <w:rsid w:val="005C703C"/>
    <w:rsid w:val="00625DE1"/>
    <w:rsid w:val="00643755"/>
    <w:rsid w:val="006B69E7"/>
    <w:rsid w:val="006C4F70"/>
    <w:rsid w:val="007940E6"/>
    <w:rsid w:val="007A766B"/>
    <w:rsid w:val="007F2AB7"/>
    <w:rsid w:val="00841D91"/>
    <w:rsid w:val="008540F2"/>
    <w:rsid w:val="008E782D"/>
    <w:rsid w:val="00963C3B"/>
    <w:rsid w:val="00966E64"/>
    <w:rsid w:val="009D6FA5"/>
    <w:rsid w:val="00AC6490"/>
    <w:rsid w:val="00AD322C"/>
    <w:rsid w:val="00AE2994"/>
    <w:rsid w:val="00B23ECD"/>
    <w:rsid w:val="00BF1E54"/>
    <w:rsid w:val="00C509C6"/>
    <w:rsid w:val="00C96376"/>
    <w:rsid w:val="00CF1DCD"/>
    <w:rsid w:val="00E11FC4"/>
    <w:rsid w:val="00E16757"/>
    <w:rsid w:val="00E25B29"/>
    <w:rsid w:val="00E30F47"/>
    <w:rsid w:val="00E976BF"/>
    <w:rsid w:val="00F46E6C"/>
    <w:rsid w:val="00F53CA1"/>
    <w:rsid w:val="00F567C0"/>
    <w:rsid w:val="00F655E9"/>
    <w:rsid w:val="00FA2BB2"/>
    <w:rsid w:val="00FE45C7"/>
    <w:rsid w:val="09624BDF"/>
    <w:rsid w:val="1D8ACB9A"/>
    <w:rsid w:val="2F76ACF4"/>
    <w:rsid w:val="31C70A22"/>
    <w:rsid w:val="340E61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4C857"/>
  <w15:chartTrackingRefBased/>
  <w15:docId w15:val="{3EAD06BA-D477-4261-9AFE-1CE5EBE0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C96376"/>
    <w:pPr>
      <w:ind w:left="720"/>
      <w:contextualSpacing/>
    </w:pPr>
  </w:style>
  <w:style w:type="character" w:styleId="Hyperlink">
    <w:name w:val="Hyperlink"/>
    <w:basedOn w:val="DefaultParagraphFont"/>
    <w:uiPriority w:val="99"/>
    <w:unhideWhenUsed/>
    <w:rsid w:val="00C96376"/>
    <w:rPr>
      <w:color w:val="0563C1" w:themeColor="hyperlink"/>
      <w:u w:val="single"/>
    </w:rPr>
  </w:style>
  <w:style w:type="character" w:styleId="UnresolvedMention">
    <w:name w:val="Unresolved Mention"/>
    <w:basedOn w:val="DefaultParagraphFont"/>
    <w:uiPriority w:val="99"/>
    <w:semiHidden/>
    <w:unhideWhenUsed/>
    <w:rsid w:val="00C96376"/>
    <w:rPr>
      <w:color w:val="605E5C"/>
      <w:shd w:val="clear" w:color="auto" w:fill="E1DFDD"/>
    </w:rPr>
  </w:style>
  <w:style w:type="table" w:styleId="TableGrid">
    <w:name w:val="Table Grid"/>
    <w:basedOn w:val="TableNormal"/>
    <w:uiPriority w:val="39"/>
    <w:rsid w:val="00C96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C9637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C96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376"/>
  </w:style>
  <w:style w:type="paragraph" w:styleId="Footer">
    <w:name w:val="footer"/>
    <w:basedOn w:val="Normal"/>
    <w:link w:val="FooterChar"/>
    <w:uiPriority w:val="99"/>
    <w:unhideWhenUsed/>
    <w:rsid w:val="00C96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76"/>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basedOn w:val="DefaultParagraphFont"/>
    <w:link w:val="ListParagraph"/>
    <w:uiPriority w:val="34"/>
    <w:qFormat/>
    <w:locked/>
    <w:rsid w:val="008E782D"/>
  </w:style>
  <w:style w:type="paragraph" w:styleId="NormalWeb">
    <w:name w:val="Normal (Web)"/>
    <w:basedOn w:val="Normal"/>
    <w:uiPriority w:val="99"/>
    <w:semiHidden/>
    <w:unhideWhenUsed/>
    <w:rsid w:val="00AC64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79519">
      <w:bodyDiv w:val="1"/>
      <w:marLeft w:val="0"/>
      <w:marRight w:val="0"/>
      <w:marTop w:val="0"/>
      <w:marBottom w:val="0"/>
      <w:divBdr>
        <w:top w:val="none" w:sz="0" w:space="0" w:color="auto"/>
        <w:left w:val="none" w:sz="0" w:space="0" w:color="auto"/>
        <w:bottom w:val="none" w:sz="0" w:space="0" w:color="auto"/>
        <w:right w:val="none" w:sz="0" w:space="0" w:color="auto"/>
      </w:divBdr>
    </w:div>
    <w:div w:id="286082513">
      <w:bodyDiv w:val="1"/>
      <w:marLeft w:val="0"/>
      <w:marRight w:val="0"/>
      <w:marTop w:val="0"/>
      <w:marBottom w:val="0"/>
      <w:divBdr>
        <w:top w:val="none" w:sz="0" w:space="0" w:color="auto"/>
        <w:left w:val="none" w:sz="0" w:space="0" w:color="auto"/>
        <w:bottom w:val="none" w:sz="0" w:space="0" w:color="auto"/>
        <w:right w:val="none" w:sz="0" w:space="0" w:color="auto"/>
      </w:divBdr>
    </w:div>
    <w:div w:id="735392478">
      <w:bodyDiv w:val="1"/>
      <w:marLeft w:val="0"/>
      <w:marRight w:val="0"/>
      <w:marTop w:val="0"/>
      <w:marBottom w:val="0"/>
      <w:divBdr>
        <w:top w:val="none" w:sz="0" w:space="0" w:color="auto"/>
        <w:left w:val="none" w:sz="0" w:space="0" w:color="auto"/>
        <w:bottom w:val="none" w:sz="0" w:space="0" w:color="auto"/>
        <w:right w:val="none" w:sz="0" w:space="0" w:color="auto"/>
      </w:divBdr>
    </w:div>
    <w:div w:id="745764730">
      <w:bodyDiv w:val="1"/>
      <w:marLeft w:val="0"/>
      <w:marRight w:val="0"/>
      <w:marTop w:val="0"/>
      <w:marBottom w:val="0"/>
      <w:divBdr>
        <w:top w:val="none" w:sz="0" w:space="0" w:color="auto"/>
        <w:left w:val="none" w:sz="0" w:space="0" w:color="auto"/>
        <w:bottom w:val="none" w:sz="0" w:space="0" w:color="auto"/>
        <w:right w:val="none" w:sz="0" w:space="0" w:color="auto"/>
      </w:divBdr>
    </w:div>
    <w:div w:id="1233153573">
      <w:bodyDiv w:val="1"/>
      <w:marLeft w:val="0"/>
      <w:marRight w:val="0"/>
      <w:marTop w:val="0"/>
      <w:marBottom w:val="0"/>
      <w:divBdr>
        <w:top w:val="none" w:sz="0" w:space="0" w:color="auto"/>
        <w:left w:val="none" w:sz="0" w:space="0" w:color="auto"/>
        <w:bottom w:val="none" w:sz="0" w:space="0" w:color="auto"/>
        <w:right w:val="none" w:sz="0" w:space="0" w:color="auto"/>
      </w:divBdr>
    </w:div>
    <w:div w:id="1723021511">
      <w:bodyDiv w:val="1"/>
      <w:marLeft w:val="0"/>
      <w:marRight w:val="0"/>
      <w:marTop w:val="0"/>
      <w:marBottom w:val="0"/>
      <w:divBdr>
        <w:top w:val="none" w:sz="0" w:space="0" w:color="auto"/>
        <w:left w:val="none" w:sz="0" w:space="0" w:color="auto"/>
        <w:bottom w:val="none" w:sz="0" w:space="0" w:color="auto"/>
        <w:right w:val="none" w:sz="0" w:space="0" w:color="auto"/>
      </w:divBdr>
    </w:div>
    <w:div w:id="1829325576">
      <w:bodyDiv w:val="1"/>
      <w:marLeft w:val="0"/>
      <w:marRight w:val="0"/>
      <w:marTop w:val="0"/>
      <w:marBottom w:val="0"/>
      <w:divBdr>
        <w:top w:val="none" w:sz="0" w:space="0" w:color="auto"/>
        <w:left w:val="none" w:sz="0" w:space="0" w:color="auto"/>
        <w:bottom w:val="none" w:sz="0" w:space="0" w:color="auto"/>
        <w:right w:val="none" w:sz="0" w:space="0" w:color="auto"/>
      </w:divBdr>
    </w:div>
    <w:div w:id="2089305100">
      <w:bodyDiv w:val="1"/>
      <w:marLeft w:val="0"/>
      <w:marRight w:val="0"/>
      <w:marTop w:val="0"/>
      <w:marBottom w:val="0"/>
      <w:divBdr>
        <w:top w:val="none" w:sz="0" w:space="0" w:color="auto"/>
        <w:left w:val="none" w:sz="0" w:space="0" w:color="auto"/>
        <w:bottom w:val="none" w:sz="0" w:space="0" w:color="auto"/>
        <w:right w:val="none" w:sz="0" w:space="0" w:color="auto"/>
      </w:divBdr>
      <w:divsChild>
        <w:div w:id="914625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iningcentre.unwomen.org/portal/product/ceda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iningcentre.unwomen.org/portal/product/2030-agenda-sustainable-development-gender-equal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iningcentre.unwomen.org/portal/product/i-know-gender-1-2-3-gender-concepts-to-get-started-international-frameworks-for-gender-equality-and-promoting-gender-equality-throughout-the-un-syste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5668-D5AB-42DC-95BC-33B8AFEB7C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933BB1-2F81-48EB-B0DE-2BF486805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f6cf-469e-4c31-af3f-aa47f9e0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CF20F-8EBE-4D8C-A3E8-52DB57B2AF5D}">
  <ds:schemaRefs>
    <ds:schemaRef ds:uri="http://schemas.microsoft.com/sharepoint/v3/contenttype/forms"/>
  </ds:schemaRefs>
</ds:datastoreItem>
</file>

<file path=customXml/itemProps4.xml><?xml version="1.0" encoding="utf-8"?>
<ds:datastoreItem xmlns:ds="http://schemas.openxmlformats.org/officeDocument/2006/customXml" ds:itemID="{492FBACF-BA52-4788-BBFA-2C5322C8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1200</Words>
  <Characters>6842</Characters>
  <Application>Microsoft Office Word</Application>
  <DocSecurity>0</DocSecurity>
  <Lines>57</Lines>
  <Paragraphs>16</Paragraphs>
  <ScaleCrop>false</ScaleCrop>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 Women</dc:creator>
  <cp:keywords/>
  <dc:description/>
  <cp:lastModifiedBy>Denise Laaveri</cp:lastModifiedBy>
  <cp:revision>15</cp:revision>
  <dcterms:created xsi:type="dcterms:W3CDTF">2021-01-12T11:18:00Z</dcterms:created>
  <dcterms:modified xsi:type="dcterms:W3CDTF">2022-04-06T12:09:00Z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ies>
</file>