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C76A7" w14:textId="77777777" w:rsidR="007B1539" w:rsidRDefault="007B15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79"/>
        <w:gridCol w:w="2638"/>
        <w:gridCol w:w="3117"/>
      </w:tblGrid>
      <w:tr w:rsidR="007B1539" w:rsidRPr="00151947" w14:paraId="1EF8243B" w14:textId="77777777" w:rsidTr="6A926E9B">
        <w:tc>
          <w:tcPr>
            <w:tcW w:w="9350" w:type="dxa"/>
            <w:gridSpan w:val="4"/>
            <w:shd w:val="clear" w:color="auto" w:fill="70AD47" w:themeFill="accent6"/>
          </w:tcPr>
          <w:p w14:paraId="3E60B478" w14:textId="77777777" w:rsidR="007B1539" w:rsidRPr="00151947" w:rsidRDefault="007B1539" w:rsidP="51F37887">
            <w:pPr>
              <w:jc w:val="center"/>
              <w:rPr>
                <w:rFonts w:eastAsiaTheme="minorEastAsia"/>
                <w:b/>
                <w:bCs/>
                <w:color w:val="FFFFFF" w:themeColor="background1"/>
                <w:sz w:val="28"/>
                <w:szCs w:val="28"/>
              </w:rPr>
            </w:pPr>
            <w:r w:rsidRPr="51F37887">
              <w:rPr>
                <w:rFonts w:eastAsiaTheme="minorEastAsia"/>
                <w:b/>
                <w:bCs/>
                <w:color w:val="FFFFFF" w:themeColor="background1"/>
                <w:sz w:val="28"/>
                <w:szCs w:val="28"/>
              </w:rPr>
              <w:t>UNCT-SWAP Gender Equality Scorecard Toolkit Resource</w:t>
            </w:r>
          </w:p>
        </w:tc>
      </w:tr>
      <w:tr w:rsidR="007B1539" w14:paraId="52819973" w14:textId="77777777" w:rsidTr="6A926E9B">
        <w:tc>
          <w:tcPr>
            <w:tcW w:w="3595" w:type="dxa"/>
            <w:gridSpan w:val="2"/>
            <w:shd w:val="clear" w:color="auto" w:fill="E2EFD9" w:themeFill="accent6" w:themeFillTint="33"/>
          </w:tcPr>
          <w:p w14:paraId="017578A1" w14:textId="39E286E7" w:rsidR="00036901" w:rsidRDefault="00036901" w:rsidP="00E0225C">
            <w:pPr>
              <w:rPr>
                <w:rFonts w:ascii="Forte" w:eastAsia="Brush Script MT" w:hAnsi="Forte" w:cs="Brush Script MT"/>
                <w:sz w:val="28"/>
                <w:szCs w:val="28"/>
              </w:rPr>
            </w:pPr>
            <w:r w:rsidRPr="3ACCA2A3">
              <w:rPr>
                <w:rFonts w:ascii="Forte" w:eastAsia="Brush Script MT" w:hAnsi="Forte" w:cs="Brush Script MT"/>
                <w:sz w:val="28"/>
                <w:szCs w:val="28"/>
              </w:rPr>
              <w:t>Wh</w:t>
            </w:r>
            <w:r>
              <w:rPr>
                <w:rFonts w:ascii="Forte" w:eastAsia="Brush Script MT" w:hAnsi="Forte" w:cs="Brush Script MT"/>
                <w:sz w:val="28"/>
                <w:szCs w:val="28"/>
              </w:rPr>
              <w:t>at?</w:t>
            </w:r>
          </w:p>
          <w:p w14:paraId="43056963" w14:textId="5BF3A650" w:rsidR="007B1539" w:rsidRPr="00151947" w:rsidRDefault="007B1539" w:rsidP="00E0225C">
            <w:pPr>
              <w:rPr>
                <w:rFonts w:eastAsiaTheme="minorEastAsia"/>
                <w:sz w:val="22"/>
                <w:szCs w:val="22"/>
              </w:rPr>
            </w:pPr>
            <w:r w:rsidRPr="51F37887">
              <w:rPr>
                <w:rFonts w:eastAsiaTheme="minorEastAsia"/>
                <w:i/>
                <w:iCs/>
                <w:sz w:val="22"/>
                <w:szCs w:val="22"/>
              </w:rPr>
              <w:t>Checklist for Gender Mainstreaming in Monitoring, Reporting and Evaluation</w:t>
            </w:r>
            <w:r w:rsidRPr="51F37887">
              <w:rPr>
                <w:rFonts w:eastAsiaTheme="minorEastAsia"/>
                <w:sz w:val="22"/>
                <w:szCs w:val="22"/>
              </w:rPr>
              <w:t xml:space="preserve"> has been developed and adapted from UNSDG’s </w:t>
            </w:r>
            <w:r w:rsidRPr="51F37887">
              <w:rPr>
                <w:rFonts w:eastAsiaTheme="minorEastAsia"/>
                <w:i/>
                <w:iCs/>
                <w:sz w:val="22"/>
                <w:szCs w:val="22"/>
              </w:rPr>
              <w:t xml:space="preserve">Resource Book for Mainstreaming Gender in UN Common Programming at the Country Level </w:t>
            </w:r>
            <w:r w:rsidRPr="51F37887">
              <w:rPr>
                <w:rFonts w:eastAsiaTheme="minorEastAsia"/>
                <w:sz w:val="22"/>
                <w:szCs w:val="22"/>
              </w:rPr>
              <w:t>(Feb</w:t>
            </w:r>
            <w:r w:rsidR="00E0225C">
              <w:rPr>
                <w:rFonts w:eastAsiaTheme="minorEastAsia"/>
                <w:sz w:val="22"/>
                <w:szCs w:val="22"/>
              </w:rPr>
              <w:t>ruary</w:t>
            </w:r>
            <w:r w:rsidRPr="51F37887">
              <w:rPr>
                <w:rFonts w:eastAsiaTheme="minorEastAsia"/>
                <w:sz w:val="22"/>
                <w:szCs w:val="22"/>
              </w:rPr>
              <w:t xml:space="preserve"> 2020 draft). </w:t>
            </w:r>
          </w:p>
          <w:p w14:paraId="41A8C5E5" w14:textId="77777777" w:rsidR="007B1539" w:rsidRDefault="007B1539" w:rsidP="00E0225C">
            <w:pPr>
              <w:rPr>
                <w:rFonts w:eastAsiaTheme="minorEastAsia"/>
              </w:rPr>
            </w:pPr>
          </w:p>
        </w:tc>
        <w:tc>
          <w:tcPr>
            <w:tcW w:w="5755" w:type="dxa"/>
            <w:gridSpan w:val="2"/>
            <w:shd w:val="clear" w:color="auto" w:fill="C5E0B3" w:themeFill="accent6" w:themeFillTint="66"/>
          </w:tcPr>
          <w:p w14:paraId="29A27D98" w14:textId="77777777" w:rsidR="00036901" w:rsidRDefault="00036901" w:rsidP="00E0225C">
            <w:pPr>
              <w:rPr>
                <w:rFonts w:ascii="Forte" w:eastAsia="Brush Script MT" w:hAnsi="Forte" w:cs="Brush Script MT"/>
                <w:sz w:val="28"/>
                <w:szCs w:val="28"/>
              </w:rPr>
            </w:pPr>
            <w:r w:rsidRPr="3ACCA2A3">
              <w:rPr>
                <w:rFonts w:ascii="Forte" w:eastAsia="Brush Script MT" w:hAnsi="Forte" w:cs="Brush Script MT"/>
                <w:sz w:val="28"/>
                <w:szCs w:val="28"/>
              </w:rPr>
              <w:t>Why?</w:t>
            </w:r>
          </w:p>
          <w:p w14:paraId="1B756860" w14:textId="1DB0FB39" w:rsidR="007B1539" w:rsidRPr="00D0479C" w:rsidRDefault="007B1539" w:rsidP="00E0225C">
            <w:pPr>
              <w:rPr>
                <w:rFonts w:eastAsiaTheme="minorEastAsia"/>
                <w:sz w:val="22"/>
                <w:szCs w:val="22"/>
              </w:rPr>
            </w:pPr>
            <w:r w:rsidRPr="51F37887">
              <w:rPr>
                <w:rFonts w:eastAsiaTheme="minorEastAsia"/>
                <w:sz w:val="22"/>
                <w:szCs w:val="22"/>
              </w:rPr>
              <w:t xml:space="preserve">The checklist has been developed to support comprehensive gender integration in </w:t>
            </w:r>
            <w:r w:rsidR="66C61006" w:rsidRPr="51F37887">
              <w:rPr>
                <w:rFonts w:eastAsiaTheme="minorEastAsia"/>
                <w:sz w:val="22"/>
                <w:szCs w:val="22"/>
              </w:rPr>
              <w:t xml:space="preserve">the UNSDCF </w:t>
            </w:r>
            <w:r w:rsidRPr="51F37887">
              <w:rPr>
                <w:rFonts w:eastAsiaTheme="minorEastAsia"/>
                <w:sz w:val="22"/>
                <w:szCs w:val="22"/>
              </w:rPr>
              <w:t xml:space="preserve">monitoring, reporting and evaluations in line with the UNCT-SWAP </w:t>
            </w:r>
            <w:r w:rsidR="433DDAAF" w:rsidRPr="51F37887">
              <w:rPr>
                <w:rFonts w:eastAsiaTheme="minorEastAsia"/>
                <w:sz w:val="22"/>
                <w:szCs w:val="22"/>
              </w:rPr>
              <w:t xml:space="preserve">Gender Equality </w:t>
            </w:r>
            <w:r w:rsidRPr="51F37887">
              <w:rPr>
                <w:rFonts w:eastAsiaTheme="minorEastAsia"/>
                <w:sz w:val="22"/>
                <w:szCs w:val="22"/>
              </w:rPr>
              <w:t xml:space="preserve">Scorecard requirements for Performance Indicator 2.3.  The checklist may be used by M&amp;E groups, RCOs, Gender Theme Groups and others involved in Cooperation Framework M&amp;E processes.  </w:t>
            </w:r>
          </w:p>
          <w:p w14:paraId="0231FB48" w14:textId="77777777" w:rsidR="007B1539" w:rsidRPr="00191295" w:rsidRDefault="007B1539" w:rsidP="00E0225C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7B1539" w14:paraId="0A8CE511" w14:textId="77777777" w:rsidTr="6A926E9B">
        <w:tc>
          <w:tcPr>
            <w:tcW w:w="9350" w:type="dxa"/>
            <w:gridSpan w:val="4"/>
            <w:shd w:val="clear" w:color="auto" w:fill="auto"/>
          </w:tcPr>
          <w:p w14:paraId="50E8B5A2" w14:textId="77777777" w:rsidR="007B1539" w:rsidRPr="00151947" w:rsidRDefault="007B1539" w:rsidP="51F37887">
            <w:pPr>
              <w:pStyle w:val="NormalWeb"/>
              <w:shd w:val="clear" w:color="auto" w:fill="FFFFFF" w:themeFill="background1"/>
              <w:jc w:val="both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7B1539" w:rsidRPr="00B23671" w14:paraId="5B810AED" w14:textId="77777777" w:rsidTr="6A926E9B">
        <w:trPr>
          <w:trHeight w:val="345"/>
        </w:trPr>
        <w:tc>
          <w:tcPr>
            <w:tcW w:w="9350" w:type="dxa"/>
            <w:gridSpan w:val="4"/>
            <w:shd w:val="clear" w:color="auto" w:fill="70AD47" w:themeFill="accent6"/>
          </w:tcPr>
          <w:p w14:paraId="5A3C6F27" w14:textId="77777777" w:rsidR="007B1539" w:rsidRPr="00B23671" w:rsidRDefault="007B1539" w:rsidP="51F37887">
            <w:pPr>
              <w:jc w:val="center"/>
              <w:rPr>
                <w:rFonts w:eastAsiaTheme="minorEastAsia"/>
                <w:b/>
                <w:bCs/>
                <w:color w:val="FFFFFF" w:themeColor="background1"/>
                <w:sz w:val="28"/>
                <w:szCs w:val="28"/>
              </w:rPr>
            </w:pPr>
            <w:r w:rsidRPr="51F37887">
              <w:rPr>
                <w:rFonts w:eastAsiaTheme="minorEastAsia"/>
                <w:b/>
                <w:bCs/>
                <w:color w:val="FFFFFF" w:themeColor="background1"/>
                <w:sz w:val="28"/>
                <w:szCs w:val="28"/>
              </w:rPr>
              <w:t>Performance Indicator 2.3 Cooperation Framework M&amp;E</w:t>
            </w:r>
          </w:p>
        </w:tc>
      </w:tr>
      <w:tr w:rsidR="007B1539" w:rsidRPr="00B23671" w14:paraId="161D81AE" w14:textId="77777777" w:rsidTr="6A926E9B">
        <w:tc>
          <w:tcPr>
            <w:tcW w:w="3116" w:type="dxa"/>
            <w:shd w:val="clear" w:color="auto" w:fill="C5E0B3" w:themeFill="accent6" w:themeFillTint="66"/>
          </w:tcPr>
          <w:p w14:paraId="008D0530" w14:textId="77777777" w:rsidR="007B1539" w:rsidRPr="005C3A39" w:rsidRDefault="007B1539" w:rsidP="00036901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51F37887">
              <w:rPr>
                <w:rFonts w:eastAsiaTheme="minorEastAsia"/>
                <w:b/>
                <w:bCs/>
                <w:sz w:val="22"/>
                <w:szCs w:val="22"/>
              </w:rPr>
              <w:t>Approaches Minimum Requirements</w:t>
            </w:r>
          </w:p>
        </w:tc>
        <w:tc>
          <w:tcPr>
            <w:tcW w:w="3117" w:type="dxa"/>
            <w:gridSpan w:val="2"/>
            <w:shd w:val="clear" w:color="auto" w:fill="C5E0B3" w:themeFill="accent6" w:themeFillTint="66"/>
          </w:tcPr>
          <w:p w14:paraId="3D0CA2CF" w14:textId="77777777" w:rsidR="007B1539" w:rsidRPr="005C3A39" w:rsidRDefault="007B1539" w:rsidP="00036901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51F37887">
              <w:rPr>
                <w:rFonts w:eastAsiaTheme="minorEastAsia"/>
                <w:b/>
                <w:bCs/>
                <w:sz w:val="22"/>
                <w:szCs w:val="22"/>
              </w:rPr>
              <w:t>Meets Minimum</w:t>
            </w:r>
          </w:p>
          <w:p w14:paraId="28CEA4A9" w14:textId="77777777" w:rsidR="007B1539" w:rsidRPr="005C3A39" w:rsidRDefault="007B1539" w:rsidP="00036901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51F37887">
              <w:rPr>
                <w:rFonts w:eastAsiaTheme="minorEastAsia"/>
                <w:b/>
                <w:bCs/>
                <w:sz w:val="22"/>
                <w:szCs w:val="22"/>
              </w:rPr>
              <w:t>Requirements</w:t>
            </w:r>
          </w:p>
        </w:tc>
        <w:tc>
          <w:tcPr>
            <w:tcW w:w="3117" w:type="dxa"/>
            <w:shd w:val="clear" w:color="auto" w:fill="C5E0B3" w:themeFill="accent6" w:themeFillTint="66"/>
          </w:tcPr>
          <w:p w14:paraId="1A8FB4F3" w14:textId="77777777" w:rsidR="007B1539" w:rsidRPr="005C3A39" w:rsidRDefault="007B1539" w:rsidP="00036901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51F37887">
              <w:rPr>
                <w:rFonts w:eastAsiaTheme="minorEastAsia"/>
                <w:b/>
                <w:bCs/>
                <w:sz w:val="22"/>
                <w:szCs w:val="22"/>
              </w:rPr>
              <w:t>Exceeds Minimum Requirements</w:t>
            </w:r>
          </w:p>
        </w:tc>
      </w:tr>
      <w:tr w:rsidR="007B1539" w:rsidRPr="000251DB" w14:paraId="2BBF8425" w14:textId="77777777" w:rsidTr="6A926E9B">
        <w:tc>
          <w:tcPr>
            <w:tcW w:w="3116" w:type="dxa"/>
            <w:shd w:val="clear" w:color="auto" w:fill="E2EFD9" w:themeFill="accent6" w:themeFillTint="33"/>
          </w:tcPr>
          <w:p w14:paraId="0504BAEB" w14:textId="77777777" w:rsidR="007B1539" w:rsidRPr="00E0225C" w:rsidRDefault="007B1539" w:rsidP="00036901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Theme="minorEastAsia" w:cstheme="minorHAnsi"/>
                <w:sz w:val="22"/>
                <w:szCs w:val="22"/>
                <w:lang w:val="en-AU"/>
              </w:rPr>
            </w:pPr>
            <w:r w:rsidRPr="00E0225C">
              <w:rPr>
                <w:rFonts w:eastAsiaTheme="minorEastAsia" w:cstheme="minorHAnsi"/>
                <w:sz w:val="22"/>
                <w:szCs w:val="22"/>
                <w:lang w:val="en-AU"/>
              </w:rPr>
              <w:t xml:space="preserve">Meets </w:t>
            </w:r>
            <w:r w:rsidRPr="00E0225C">
              <w:rPr>
                <w:rFonts w:eastAsiaTheme="minorEastAsia" w:cstheme="minorHAnsi"/>
                <w:b/>
                <w:bCs/>
                <w:sz w:val="22"/>
                <w:szCs w:val="22"/>
                <w:lang w:val="en-AU"/>
              </w:rPr>
              <w:t>one</w:t>
            </w:r>
            <w:r w:rsidRPr="00E0225C">
              <w:rPr>
                <w:rFonts w:eastAsiaTheme="minorEastAsia" w:cstheme="minorHAnsi"/>
                <w:sz w:val="22"/>
                <w:szCs w:val="22"/>
                <w:lang w:val="en-AU"/>
              </w:rPr>
              <w:t xml:space="preserve"> of the following:</w:t>
            </w:r>
          </w:p>
          <w:p w14:paraId="21838085" w14:textId="77777777" w:rsidR="007B1539" w:rsidRPr="00E0225C" w:rsidRDefault="007B1539" w:rsidP="00036901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Theme="minorEastAsia" w:cstheme="minorHAnsi"/>
                <w:sz w:val="22"/>
                <w:szCs w:val="22"/>
                <w:lang w:val="en-AU"/>
              </w:rPr>
            </w:pPr>
            <w:r w:rsidRPr="00E0225C">
              <w:rPr>
                <w:rFonts w:eastAsiaTheme="minorEastAsia" w:cstheme="minorHAnsi"/>
                <w:b/>
                <w:bCs/>
                <w:sz w:val="22"/>
                <w:szCs w:val="22"/>
                <w:lang w:val="en-AU"/>
              </w:rPr>
              <w:t>a)</w:t>
            </w:r>
            <w:r w:rsidRPr="00E0225C">
              <w:rPr>
                <w:rFonts w:eastAsiaTheme="minorEastAsia" w:cstheme="minorHAnsi"/>
                <w:sz w:val="22"/>
                <w:szCs w:val="22"/>
                <w:lang w:val="en-AU"/>
              </w:rPr>
              <w:t xml:space="preserve"> Cooperation Framework results matrix for gender sensitive indicators gathered as planned.</w:t>
            </w:r>
          </w:p>
          <w:p w14:paraId="4CE63C2B" w14:textId="77777777" w:rsidR="007B1539" w:rsidRPr="00E0225C" w:rsidRDefault="007B1539" w:rsidP="00036901">
            <w:pPr>
              <w:rPr>
                <w:rFonts w:eastAsiaTheme="minorEastAsia" w:cstheme="minorHAnsi"/>
                <w:color w:val="000000" w:themeColor="text1"/>
                <w:sz w:val="22"/>
                <w:szCs w:val="22"/>
              </w:rPr>
            </w:pPr>
            <w:r w:rsidRPr="00E0225C">
              <w:rPr>
                <w:rFonts w:eastAsiaTheme="minorEastAsia" w:cstheme="minorHAnsi"/>
                <w:b/>
                <w:bCs/>
                <w:sz w:val="22"/>
                <w:szCs w:val="22"/>
                <w:lang w:val="en-AU"/>
              </w:rPr>
              <w:t>b)</w:t>
            </w:r>
            <w:r w:rsidRPr="00E0225C">
              <w:rPr>
                <w:rFonts w:eastAsiaTheme="minorEastAsia" w:cstheme="minorHAnsi"/>
                <w:sz w:val="22"/>
                <w:szCs w:val="22"/>
                <w:lang w:val="en-AU"/>
              </w:rPr>
              <w:t xml:space="preserve"> Cooperation Framework reviews/evaluations assess progress against gender-specific results.</w:t>
            </w:r>
          </w:p>
        </w:tc>
        <w:tc>
          <w:tcPr>
            <w:tcW w:w="3117" w:type="dxa"/>
            <w:gridSpan w:val="2"/>
            <w:shd w:val="clear" w:color="auto" w:fill="E2EFD9" w:themeFill="accent6" w:themeFillTint="33"/>
          </w:tcPr>
          <w:p w14:paraId="379F0CE5" w14:textId="77777777" w:rsidR="007B1539" w:rsidRPr="00E0225C" w:rsidRDefault="007B1539" w:rsidP="00036901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Theme="minorEastAsia" w:cstheme="minorHAnsi"/>
                <w:sz w:val="22"/>
                <w:szCs w:val="22"/>
                <w:lang w:val="en-AU"/>
              </w:rPr>
            </w:pPr>
            <w:r w:rsidRPr="00E0225C">
              <w:rPr>
                <w:rFonts w:eastAsiaTheme="minorEastAsia" w:cstheme="minorHAnsi"/>
                <w:sz w:val="22"/>
                <w:szCs w:val="22"/>
                <w:lang w:val="en-AU"/>
              </w:rPr>
              <w:t xml:space="preserve">Meets </w:t>
            </w:r>
            <w:r w:rsidRPr="00E0225C">
              <w:rPr>
                <w:rFonts w:eastAsiaTheme="minorEastAsia" w:cstheme="minorHAnsi"/>
                <w:b/>
                <w:bCs/>
                <w:sz w:val="22"/>
                <w:szCs w:val="22"/>
                <w:lang w:val="en-AU"/>
              </w:rPr>
              <w:t xml:space="preserve">two </w:t>
            </w:r>
            <w:r w:rsidRPr="00E0225C">
              <w:rPr>
                <w:rFonts w:eastAsiaTheme="minorEastAsia" w:cstheme="minorHAnsi"/>
                <w:sz w:val="22"/>
                <w:szCs w:val="22"/>
                <w:lang w:val="en-AU"/>
              </w:rPr>
              <w:t>of the following:</w:t>
            </w:r>
          </w:p>
          <w:p w14:paraId="6BBE8DC6" w14:textId="77777777" w:rsidR="007B1539" w:rsidRPr="00E0225C" w:rsidRDefault="007B1539" w:rsidP="00036901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Theme="minorEastAsia" w:cstheme="minorHAnsi"/>
                <w:sz w:val="22"/>
                <w:szCs w:val="22"/>
                <w:lang w:val="en-AU"/>
              </w:rPr>
            </w:pPr>
            <w:r w:rsidRPr="00E0225C">
              <w:rPr>
                <w:rFonts w:eastAsiaTheme="minorEastAsia" w:cstheme="minorHAnsi"/>
                <w:b/>
                <w:bCs/>
                <w:sz w:val="22"/>
                <w:szCs w:val="22"/>
                <w:lang w:val="en-AU"/>
              </w:rPr>
              <w:t>a)</w:t>
            </w:r>
            <w:r w:rsidRPr="00E0225C">
              <w:rPr>
                <w:rFonts w:eastAsiaTheme="minorEastAsia" w:cstheme="minorHAnsi"/>
                <w:sz w:val="22"/>
                <w:szCs w:val="22"/>
                <w:lang w:val="en-AU"/>
              </w:rPr>
              <w:t xml:space="preserve"> Cooperation Framework results matrix for gender sensitive indicators gathered as planned.</w:t>
            </w:r>
          </w:p>
          <w:p w14:paraId="0851C3F1" w14:textId="77777777" w:rsidR="007B1539" w:rsidRPr="00E0225C" w:rsidRDefault="007B1539" w:rsidP="00036901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Theme="minorEastAsia" w:cstheme="minorHAnsi"/>
                <w:sz w:val="22"/>
                <w:szCs w:val="22"/>
                <w:lang w:val="en-AU"/>
              </w:rPr>
            </w:pPr>
            <w:r w:rsidRPr="00E0225C">
              <w:rPr>
                <w:rFonts w:eastAsiaTheme="minorEastAsia" w:cstheme="minorHAnsi"/>
                <w:b/>
                <w:bCs/>
                <w:sz w:val="22"/>
                <w:szCs w:val="22"/>
                <w:lang w:val="en-AU"/>
              </w:rPr>
              <w:t>b)</w:t>
            </w:r>
            <w:r w:rsidRPr="00E0225C">
              <w:rPr>
                <w:rFonts w:eastAsiaTheme="minorEastAsia" w:cstheme="minorHAnsi"/>
                <w:sz w:val="22"/>
                <w:szCs w:val="22"/>
                <w:lang w:val="en-AU"/>
              </w:rPr>
              <w:t xml:space="preserve"> Cooperation Framework reviews/evaluations assess progress against gender-specific results.</w:t>
            </w:r>
          </w:p>
          <w:p w14:paraId="43D6B451" w14:textId="23D93478" w:rsidR="007B1539" w:rsidRPr="00E0225C" w:rsidRDefault="007B1539" w:rsidP="00036901">
            <w:pPr>
              <w:contextualSpacing/>
              <w:rPr>
                <w:rFonts w:eastAsiaTheme="minorEastAsia" w:cstheme="minorHAnsi"/>
                <w:color w:val="000000" w:themeColor="text1"/>
                <w:sz w:val="22"/>
                <w:szCs w:val="22"/>
              </w:rPr>
            </w:pPr>
            <w:r w:rsidRPr="00E0225C">
              <w:rPr>
                <w:rFonts w:eastAsiaTheme="minorEastAsia" w:cstheme="minorHAnsi"/>
                <w:b/>
                <w:bCs/>
                <w:sz w:val="22"/>
                <w:szCs w:val="22"/>
                <w:lang w:val="en-AU"/>
              </w:rPr>
              <w:t xml:space="preserve">c) </w:t>
            </w:r>
            <w:r w:rsidRPr="00E0225C">
              <w:rPr>
                <w:rFonts w:eastAsiaTheme="minorEastAsia" w:cstheme="minorHAnsi"/>
                <w:sz w:val="22"/>
                <w:szCs w:val="22"/>
                <w:lang w:val="en-AU"/>
              </w:rPr>
              <w:t>The M&amp;E Group or equivalent has received technical trainings on gender-sensitive M&amp;E at least once during the current Cooperation Framework cycle.</w:t>
            </w:r>
          </w:p>
        </w:tc>
        <w:tc>
          <w:tcPr>
            <w:tcW w:w="3117" w:type="dxa"/>
            <w:shd w:val="clear" w:color="auto" w:fill="E2EFD9" w:themeFill="accent6" w:themeFillTint="33"/>
          </w:tcPr>
          <w:p w14:paraId="1ED05102" w14:textId="77777777" w:rsidR="007B1539" w:rsidRPr="00E0225C" w:rsidRDefault="007B1539" w:rsidP="00036901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Theme="minorEastAsia" w:cstheme="minorHAnsi"/>
                <w:sz w:val="22"/>
                <w:szCs w:val="22"/>
                <w:lang w:val="en-AU"/>
              </w:rPr>
            </w:pPr>
            <w:r w:rsidRPr="00E0225C">
              <w:rPr>
                <w:rFonts w:eastAsiaTheme="minorEastAsia" w:cstheme="minorHAnsi"/>
                <w:sz w:val="22"/>
                <w:szCs w:val="22"/>
                <w:lang w:val="en-AU"/>
              </w:rPr>
              <w:t xml:space="preserve">Meets </w:t>
            </w:r>
            <w:proofErr w:type="gramStart"/>
            <w:r w:rsidRPr="00E0225C">
              <w:rPr>
                <w:rFonts w:eastAsiaTheme="minorEastAsia" w:cstheme="minorHAnsi"/>
                <w:b/>
                <w:bCs/>
                <w:sz w:val="22"/>
                <w:szCs w:val="22"/>
                <w:lang w:val="en-AU"/>
              </w:rPr>
              <w:t xml:space="preserve">all </w:t>
            </w:r>
            <w:r w:rsidRPr="00E0225C">
              <w:rPr>
                <w:rFonts w:eastAsiaTheme="minorEastAsia" w:cstheme="minorHAnsi"/>
                <w:sz w:val="22"/>
                <w:szCs w:val="22"/>
                <w:lang w:val="en-AU"/>
              </w:rPr>
              <w:t>of</w:t>
            </w:r>
            <w:proofErr w:type="gramEnd"/>
            <w:r w:rsidRPr="00E0225C">
              <w:rPr>
                <w:rFonts w:eastAsiaTheme="minorEastAsia" w:cstheme="minorHAnsi"/>
                <w:sz w:val="22"/>
                <w:szCs w:val="22"/>
                <w:lang w:val="en-AU"/>
              </w:rPr>
              <w:t xml:space="preserve"> the following:</w:t>
            </w:r>
          </w:p>
          <w:p w14:paraId="38C07B70" w14:textId="77777777" w:rsidR="007B1539" w:rsidRPr="00E0225C" w:rsidRDefault="007B1539" w:rsidP="00036901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Theme="minorEastAsia" w:cstheme="minorHAnsi"/>
                <w:sz w:val="22"/>
                <w:szCs w:val="22"/>
                <w:lang w:val="en-AU"/>
              </w:rPr>
            </w:pPr>
            <w:r w:rsidRPr="00E0225C">
              <w:rPr>
                <w:rFonts w:eastAsiaTheme="minorEastAsia" w:cstheme="minorHAnsi"/>
                <w:b/>
                <w:bCs/>
                <w:sz w:val="22"/>
                <w:szCs w:val="22"/>
                <w:lang w:val="en-AU"/>
              </w:rPr>
              <w:t>a)</w:t>
            </w:r>
            <w:r w:rsidRPr="00E0225C">
              <w:rPr>
                <w:rFonts w:eastAsiaTheme="minorEastAsia" w:cstheme="minorHAnsi"/>
                <w:sz w:val="22"/>
                <w:szCs w:val="22"/>
                <w:lang w:val="en-AU"/>
              </w:rPr>
              <w:t xml:space="preserve"> Cooperation Framework results matrix for gender sensitive indicators gathered as planned.</w:t>
            </w:r>
          </w:p>
          <w:p w14:paraId="4B4C5CFD" w14:textId="77777777" w:rsidR="007B1539" w:rsidRPr="00E0225C" w:rsidRDefault="007B1539" w:rsidP="00036901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Theme="minorEastAsia" w:cstheme="minorHAnsi"/>
                <w:sz w:val="22"/>
                <w:szCs w:val="22"/>
                <w:lang w:val="en-AU"/>
              </w:rPr>
            </w:pPr>
            <w:r w:rsidRPr="00E0225C">
              <w:rPr>
                <w:rFonts w:eastAsiaTheme="minorEastAsia" w:cstheme="minorHAnsi"/>
                <w:b/>
                <w:bCs/>
                <w:sz w:val="22"/>
                <w:szCs w:val="22"/>
                <w:lang w:val="en-AU"/>
              </w:rPr>
              <w:t>b)</w:t>
            </w:r>
            <w:r w:rsidRPr="00E0225C">
              <w:rPr>
                <w:rFonts w:eastAsiaTheme="minorEastAsia" w:cstheme="minorHAnsi"/>
                <w:sz w:val="22"/>
                <w:szCs w:val="22"/>
                <w:lang w:val="en-AU"/>
              </w:rPr>
              <w:t xml:space="preserve"> Cooperation Framework reviews/evaluations assess progress against gender-specific results.</w:t>
            </w:r>
          </w:p>
          <w:p w14:paraId="4B9845ED" w14:textId="77777777" w:rsidR="007B1539" w:rsidRPr="00E0225C" w:rsidRDefault="007B1539" w:rsidP="00036901">
            <w:pPr>
              <w:rPr>
                <w:rFonts w:eastAsiaTheme="minorEastAsia" w:cstheme="minorHAnsi"/>
                <w:color w:val="000000" w:themeColor="text1"/>
                <w:sz w:val="22"/>
                <w:szCs w:val="22"/>
              </w:rPr>
            </w:pPr>
            <w:r w:rsidRPr="00E0225C">
              <w:rPr>
                <w:rFonts w:eastAsiaTheme="minorEastAsia" w:cstheme="minorHAnsi"/>
                <w:b/>
                <w:bCs/>
                <w:sz w:val="22"/>
                <w:szCs w:val="22"/>
                <w:lang w:val="en-AU"/>
              </w:rPr>
              <w:t xml:space="preserve">c) </w:t>
            </w:r>
            <w:r w:rsidRPr="00E0225C">
              <w:rPr>
                <w:rFonts w:eastAsiaTheme="minorEastAsia" w:cstheme="minorHAnsi"/>
                <w:sz w:val="22"/>
                <w:szCs w:val="22"/>
                <w:lang w:val="en-AU"/>
              </w:rPr>
              <w:t>The M&amp;E Group or equivalent has received technical trainings on gender sensitive M&amp;E at least once during the current Cooperation Framework cycle.</w:t>
            </w:r>
          </w:p>
        </w:tc>
      </w:tr>
    </w:tbl>
    <w:p w14:paraId="6D3D3A42" w14:textId="77777777" w:rsidR="007B1539" w:rsidRDefault="007B1539"/>
    <w:p w14:paraId="60F0E65E" w14:textId="6CF850FC" w:rsidR="007B1539" w:rsidRDefault="007B1539"/>
    <w:p w14:paraId="0D47D0FB" w14:textId="1728E35C" w:rsidR="009B12F1" w:rsidRDefault="009B12F1"/>
    <w:p w14:paraId="16A7006A" w14:textId="1FC79AA2" w:rsidR="009B12F1" w:rsidRDefault="009B12F1"/>
    <w:p w14:paraId="4783EE33" w14:textId="2B5600F5" w:rsidR="009B12F1" w:rsidRDefault="009B12F1"/>
    <w:p w14:paraId="1D6F7619" w14:textId="58124E4F" w:rsidR="009B12F1" w:rsidRDefault="009B12F1"/>
    <w:p w14:paraId="51531380" w14:textId="7B1FF76E" w:rsidR="009B12F1" w:rsidRDefault="009B12F1"/>
    <w:p w14:paraId="14642050" w14:textId="60385F86" w:rsidR="009B12F1" w:rsidRDefault="009B12F1"/>
    <w:p w14:paraId="6DB575F0" w14:textId="77777777" w:rsidR="009B12F1" w:rsidRDefault="009B12F1"/>
    <w:p w14:paraId="14C28FAC" w14:textId="77777777" w:rsidR="007B1539" w:rsidRPr="003E52D6" w:rsidRDefault="007B1539" w:rsidP="00191295">
      <w:pPr>
        <w:rPr>
          <w:sz w:val="22"/>
          <w:szCs w:val="22"/>
        </w:rPr>
      </w:pPr>
    </w:p>
    <w:p w14:paraId="070E8611" w14:textId="77777777" w:rsidR="007B1539" w:rsidRDefault="007B1539"/>
    <w:p w14:paraId="08B20803" w14:textId="6F41B4C2" w:rsidR="51F37887" w:rsidRDefault="51F37887" w:rsidP="51F37887">
      <w:pPr>
        <w:jc w:val="center"/>
        <w:rPr>
          <w:b/>
          <w:bCs/>
          <w:u w:val="single"/>
        </w:rPr>
      </w:pPr>
    </w:p>
    <w:p w14:paraId="6C0B3874" w14:textId="5403A927" w:rsidR="00F96EFD" w:rsidRPr="0094663F" w:rsidRDefault="7819B113" w:rsidP="51F37887">
      <w:pPr>
        <w:jc w:val="center"/>
        <w:rPr>
          <w:b/>
          <w:bCs/>
          <w:u w:val="single"/>
        </w:rPr>
      </w:pPr>
      <w:r w:rsidRPr="51F37887">
        <w:rPr>
          <w:b/>
          <w:bCs/>
          <w:u w:val="single"/>
        </w:rPr>
        <w:lastRenderedPageBreak/>
        <w:t xml:space="preserve">Checklist for Gender Mainstreaming in </w:t>
      </w:r>
      <w:r w:rsidR="42F93B01" w:rsidRPr="51F37887">
        <w:rPr>
          <w:b/>
          <w:bCs/>
          <w:u w:val="single"/>
        </w:rPr>
        <w:t>Monitoring, Reporting and Evaluation</w:t>
      </w:r>
      <w:r w:rsidR="0094663F" w:rsidRPr="51F37887">
        <w:rPr>
          <w:rStyle w:val="FootnoteReference"/>
          <w:b/>
          <w:bCs/>
          <w:u w:val="single"/>
        </w:rPr>
        <w:footnoteReference w:id="1"/>
      </w:r>
    </w:p>
    <w:p w14:paraId="6DEE8292" w14:textId="2C1458C2" w:rsidR="56AB0BEF" w:rsidRDefault="56AB0BEF" w:rsidP="640B6DD8">
      <w:pPr>
        <w:jc w:val="center"/>
        <w:rPr>
          <w:u w:val="single"/>
        </w:rPr>
      </w:pPr>
      <w:r w:rsidRPr="640B6DD8">
        <w:rPr>
          <w:i/>
          <w:iCs/>
        </w:rPr>
        <w:t>Developed for UNCT-SWAP Toolkit (2020)</w:t>
      </w:r>
    </w:p>
    <w:p w14:paraId="20EFB2AF" w14:textId="77777777" w:rsidR="004F6053" w:rsidRPr="004F6053" w:rsidRDefault="004F6053" w:rsidP="640B6DD8">
      <w:pPr>
        <w:pStyle w:val="NoSpacing"/>
        <w:tabs>
          <w:tab w:val="left" w:pos="1008"/>
        </w:tabs>
        <w:jc w:val="both"/>
        <w:rPr>
          <w:rFonts w:asciiTheme="minorHAnsi" w:hAnsiTheme="minorHAnsi"/>
        </w:rPr>
      </w:pPr>
    </w:p>
    <w:p w14:paraId="4E6FBCC4" w14:textId="1E5EBABE" w:rsidR="6E77FA7E" w:rsidRDefault="6E77FA7E" w:rsidP="640B6DD8">
      <w:pPr>
        <w:pStyle w:val="NoSpacing"/>
        <w:jc w:val="both"/>
        <w:rPr>
          <w:rFonts w:asciiTheme="minorHAnsi" w:hAnsiTheme="minorHAnsi"/>
        </w:rPr>
      </w:pPr>
      <w:r w:rsidRPr="640B6DD8">
        <w:rPr>
          <w:rFonts w:asciiTheme="minorHAnsi" w:hAnsiTheme="minorHAnsi"/>
          <w:b/>
          <w:bCs/>
        </w:rPr>
        <w:t>Monitoring and Reporting</w:t>
      </w:r>
      <w:r w:rsidRPr="640B6DD8">
        <w:rPr>
          <w:rFonts w:asciiTheme="minorHAnsi" w:hAnsiTheme="minorHAnsi"/>
        </w:rPr>
        <w:t xml:space="preserve"> </w:t>
      </w:r>
    </w:p>
    <w:p w14:paraId="75C78A53" w14:textId="121B24B3" w:rsidR="640B6DD8" w:rsidRDefault="640B6DD8" w:rsidP="640B6DD8">
      <w:pPr>
        <w:pStyle w:val="NoSpacing"/>
        <w:jc w:val="both"/>
        <w:rPr>
          <w:rFonts w:asciiTheme="minorHAnsi" w:hAnsiTheme="minorHAnsi"/>
        </w:rPr>
      </w:pPr>
    </w:p>
    <w:p w14:paraId="12EFE920" w14:textId="0E8217E2" w:rsidR="00D73216" w:rsidRPr="00D73216" w:rsidRDefault="004F6053" w:rsidP="6A926E9B">
      <w:pPr>
        <w:pStyle w:val="NoSpacing"/>
        <w:numPr>
          <w:ilvl w:val="0"/>
          <w:numId w:val="4"/>
        </w:numPr>
        <w:tabs>
          <w:tab w:val="left" w:pos="1276"/>
        </w:tabs>
        <w:jc w:val="both"/>
        <w:rPr>
          <w:rFonts w:asciiTheme="minorHAnsi" w:hAnsiTheme="minorHAnsi" w:cs="Arial"/>
          <w:lang w:val="en-US"/>
        </w:rPr>
      </w:pPr>
      <w:r w:rsidRPr="6A926E9B">
        <w:rPr>
          <w:rFonts w:asciiTheme="minorHAnsi" w:eastAsia="Times New Roman" w:hAnsiTheme="minorHAnsi"/>
        </w:rPr>
        <w:t xml:space="preserve">Review the extent to which the Cooperation Framework indicators in all areas enable </w:t>
      </w:r>
      <w:r w:rsidR="61A43FDC" w:rsidRPr="6A926E9B">
        <w:rPr>
          <w:rFonts w:asciiTheme="minorHAnsi" w:eastAsia="Times New Roman" w:hAnsiTheme="minorHAnsi"/>
        </w:rPr>
        <w:t xml:space="preserve">the </w:t>
      </w:r>
      <w:r w:rsidRPr="6A926E9B">
        <w:rPr>
          <w:rFonts w:asciiTheme="minorHAnsi" w:eastAsia="Times New Roman" w:hAnsiTheme="minorHAnsi"/>
        </w:rPr>
        <w:t xml:space="preserve">tracking </w:t>
      </w:r>
      <w:r w:rsidR="5DB6377F" w:rsidRPr="6A926E9B">
        <w:rPr>
          <w:rFonts w:asciiTheme="minorHAnsi" w:eastAsia="Times New Roman" w:hAnsiTheme="minorHAnsi"/>
        </w:rPr>
        <w:t xml:space="preserve">of </w:t>
      </w:r>
      <w:r w:rsidRPr="6A926E9B">
        <w:rPr>
          <w:rFonts w:asciiTheme="minorHAnsi" w:eastAsia="Times New Roman" w:hAnsiTheme="minorHAnsi"/>
        </w:rPr>
        <w:t>gender-related changes over time</w:t>
      </w:r>
      <w:r w:rsidR="00D73216" w:rsidRPr="6A926E9B">
        <w:rPr>
          <w:rFonts w:asciiTheme="minorHAnsi" w:eastAsia="Times New Roman" w:hAnsiTheme="minorHAnsi"/>
        </w:rPr>
        <w:t xml:space="preserve"> (UNCT-SWAP standards require </w:t>
      </w:r>
      <w:r w:rsidR="2D61561D" w:rsidRPr="6A926E9B">
        <w:rPr>
          <w:rFonts w:asciiTheme="minorHAnsi" w:eastAsia="Times New Roman" w:hAnsiTheme="minorHAnsi"/>
        </w:rPr>
        <w:t xml:space="preserve">that </w:t>
      </w:r>
      <w:r w:rsidR="00D73216" w:rsidRPr="6A926E9B">
        <w:rPr>
          <w:rFonts w:asciiTheme="minorHAnsi" w:eastAsia="Times New Roman" w:hAnsiTheme="minorHAnsi"/>
        </w:rPr>
        <w:t xml:space="preserve">33-50 percent of indicators </w:t>
      </w:r>
      <w:proofErr w:type="gramStart"/>
      <w:r w:rsidR="00D73216" w:rsidRPr="6A926E9B">
        <w:rPr>
          <w:rFonts w:asciiTheme="minorHAnsi" w:eastAsia="Times New Roman" w:hAnsiTheme="minorHAnsi"/>
        </w:rPr>
        <w:t>are</w:t>
      </w:r>
      <w:proofErr w:type="gramEnd"/>
      <w:r w:rsidR="00D73216" w:rsidRPr="6A926E9B">
        <w:rPr>
          <w:rFonts w:asciiTheme="minorHAnsi" w:eastAsia="Times New Roman" w:hAnsiTheme="minorHAnsi"/>
        </w:rPr>
        <w:t xml:space="preserve"> able to track changes to gender equality)</w:t>
      </w:r>
      <w:r w:rsidRPr="6A926E9B">
        <w:rPr>
          <w:rFonts w:asciiTheme="minorHAnsi" w:eastAsia="Times New Roman" w:hAnsiTheme="minorHAnsi"/>
        </w:rPr>
        <w:t>.</w:t>
      </w:r>
    </w:p>
    <w:p w14:paraId="07E13993" w14:textId="77777777" w:rsidR="00D73216" w:rsidRPr="00D73216" w:rsidRDefault="00D73216" w:rsidP="00D73216">
      <w:pPr>
        <w:pStyle w:val="NoSpacing"/>
        <w:ind w:left="360"/>
        <w:jc w:val="both"/>
        <w:rPr>
          <w:rFonts w:asciiTheme="minorHAnsi" w:hAnsiTheme="minorHAnsi" w:cs="Arial"/>
          <w:iCs/>
          <w:lang w:val="en-US"/>
        </w:rPr>
      </w:pPr>
    </w:p>
    <w:p w14:paraId="578F9F47" w14:textId="09CF0B9E" w:rsidR="004F6053" w:rsidRPr="00D73216" w:rsidRDefault="00D73216" w:rsidP="640B6DD8">
      <w:pPr>
        <w:pStyle w:val="NoSpacing"/>
        <w:numPr>
          <w:ilvl w:val="0"/>
          <w:numId w:val="4"/>
        </w:numPr>
        <w:jc w:val="both"/>
        <w:rPr>
          <w:rFonts w:asciiTheme="minorHAnsi" w:hAnsiTheme="minorHAnsi" w:cs="Arial"/>
          <w:lang w:val="en-US"/>
        </w:rPr>
      </w:pPr>
      <w:r w:rsidRPr="640B6DD8">
        <w:rPr>
          <w:rFonts w:asciiTheme="minorHAnsi" w:hAnsiTheme="minorHAnsi" w:cs="Arial"/>
          <w:lang w:val="en-US"/>
        </w:rPr>
        <w:t>U</w:t>
      </w:r>
      <w:r w:rsidR="004F6053" w:rsidRPr="640B6DD8">
        <w:rPr>
          <w:rFonts w:asciiTheme="minorHAnsi" w:hAnsiTheme="minorHAnsi" w:cs="Arial"/>
          <w:color w:val="000000"/>
        </w:rPr>
        <w:t xml:space="preserve">se </w:t>
      </w:r>
      <w:r w:rsidRPr="640B6DD8">
        <w:rPr>
          <w:rFonts w:asciiTheme="minorHAnsi" w:hAnsiTheme="minorHAnsi" w:cs="Arial"/>
          <w:color w:val="000000"/>
        </w:rPr>
        <w:t xml:space="preserve">relevant </w:t>
      </w:r>
      <w:r w:rsidR="004F6053" w:rsidRPr="640B6DD8">
        <w:rPr>
          <w:rFonts w:asciiTheme="minorHAnsi" w:hAnsiTheme="minorHAnsi" w:cs="Arial"/>
          <w:color w:val="000000"/>
        </w:rPr>
        <w:t xml:space="preserve">gender indicators </w:t>
      </w:r>
      <w:r w:rsidRPr="640B6DD8">
        <w:rPr>
          <w:rFonts w:asciiTheme="minorHAnsi" w:hAnsiTheme="minorHAnsi" w:cs="Arial"/>
          <w:color w:val="000000"/>
        </w:rPr>
        <w:t>from</w:t>
      </w:r>
      <w:r w:rsidR="004F6053" w:rsidRPr="640B6DD8">
        <w:rPr>
          <w:rFonts w:asciiTheme="minorHAnsi" w:hAnsiTheme="minorHAnsi" w:cs="Arial"/>
          <w:color w:val="000000"/>
        </w:rPr>
        <w:t xml:space="preserve"> existing national M&amp;E systems wherever possible, including using the Minimum Set of Gender Indicators</w:t>
      </w:r>
      <w:r w:rsidRPr="640B6DD8">
        <w:rPr>
          <w:rStyle w:val="FootnoteReference"/>
          <w:rFonts w:asciiTheme="minorHAnsi" w:hAnsiTheme="minorHAnsi" w:cs="Arial"/>
          <w:color w:val="000000"/>
        </w:rPr>
        <w:footnoteReference w:id="2"/>
      </w:r>
      <w:r w:rsidR="004F6053" w:rsidRPr="640B6DD8">
        <w:rPr>
          <w:rFonts w:asciiTheme="minorHAnsi" w:hAnsiTheme="minorHAnsi" w:cs="Arial"/>
          <w:color w:val="000000"/>
        </w:rPr>
        <w:t xml:space="preserve"> and the </w:t>
      </w:r>
      <w:r w:rsidR="004F6053" w:rsidRPr="640B6DD8">
        <w:rPr>
          <w:rFonts w:asciiTheme="minorHAnsi" w:hAnsiTheme="minorHAnsi" w:cs="Arial"/>
          <w:color w:val="000000" w:themeColor="text1"/>
        </w:rPr>
        <w:t xml:space="preserve">indicators for monitoring </w:t>
      </w:r>
      <w:r w:rsidRPr="640B6DD8">
        <w:rPr>
          <w:rFonts w:asciiTheme="minorHAnsi" w:hAnsiTheme="minorHAnsi" w:cs="Arial"/>
          <w:color w:val="000000" w:themeColor="text1"/>
        </w:rPr>
        <w:t>GEWE</w:t>
      </w:r>
      <w:r w:rsidR="004F6053" w:rsidRPr="640B6DD8">
        <w:rPr>
          <w:rFonts w:asciiTheme="minorHAnsi" w:hAnsiTheme="minorHAnsi" w:cs="Arial"/>
          <w:color w:val="000000" w:themeColor="text1"/>
        </w:rPr>
        <w:t xml:space="preserve"> in the SDG framework</w:t>
      </w:r>
      <w:r w:rsidR="004F6053" w:rsidRPr="640B6DD8">
        <w:rPr>
          <w:rFonts w:asciiTheme="minorHAnsi" w:hAnsiTheme="minorHAnsi" w:cs="Arial"/>
          <w:color w:val="000000"/>
        </w:rPr>
        <w:t>.</w:t>
      </w:r>
    </w:p>
    <w:p w14:paraId="3B18702E" w14:textId="00A09BDE" w:rsidR="00D73216" w:rsidRPr="00D73216" w:rsidRDefault="00D73216" w:rsidP="640B6DD8">
      <w:pPr>
        <w:pStyle w:val="NoSpacing"/>
        <w:jc w:val="both"/>
        <w:rPr>
          <w:rFonts w:asciiTheme="minorHAnsi" w:hAnsiTheme="minorHAnsi" w:cs="Arial"/>
          <w:color w:val="000000" w:themeColor="text1"/>
        </w:rPr>
      </w:pPr>
    </w:p>
    <w:p w14:paraId="2A9A0B0C" w14:textId="1C667A46" w:rsidR="00D73216" w:rsidRPr="00D73216" w:rsidRDefault="1C2D6858" w:rsidP="6A926E9B">
      <w:pPr>
        <w:pStyle w:val="NoSpacing"/>
        <w:numPr>
          <w:ilvl w:val="0"/>
          <w:numId w:val="4"/>
        </w:numPr>
        <w:jc w:val="both"/>
        <w:rPr>
          <w:rFonts w:asciiTheme="minorHAnsi" w:hAnsiTheme="minorHAnsi" w:cs="Arial"/>
          <w:lang w:val="en-US"/>
        </w:rPr>
      </w:pPr>
      <w:r w:rsidRPr="6A926E9B">
        <w:rPr>
          <w:rFonts w:asciiTheme="minorHAnsi" w:hAnsiTheme="minorHAnsi" w:cs="Arial"/>
          <w:lang w:val="en-US"/>
        </w:rPr>
        <w:t>Build capacit</w:t>
      </w:r>
      <w:r w:rsidR="5FC7D7F0" w:rsidRPr="6A926E9B">
        <w:rPr>
          <w:rFonts w:asciiTheme="minorHAnsi" w:hAnsiTheme="minorHAnsi" w:cs="Arial"/>
          <w:lang w:val="en-US"/>
        </w:rPr>
        <w:t>ies</w:t>
      </w:r>
      <w:r w:rsidRPr="6A926E9B">
        <w:rPr>
          <w:rFonts w:asciiTheme="minorHAnsi" w:hAnsiTheme="minorHAnsi" w:cs="Arial"/>
          <w:lang w:val="en-US"/>
        </w:rPr>
        <w:t xml:space="preserve"> of partners and provide technical assistance on gender-integrated monitoring and reporting. This may include capacity development of national statistical entities to generate sex-disaggregated and gender</w:t>
      </w:r>
      <w:r w:rsidR="7D082261" w:rsidRPr="6A926E9B">
        <w:rPr>
          <w:rFonts w:asciiTheme="minorHAnsi" w:hAnsiTheme="minorHAnsi" w:cs="Arial"/>
          <w:lang w:val="en-US"/>
        </w:rPr>
        <w:t>-</w:t>
      </w:r>
      <w:r w:rsidRPr="6A926E9B">
        <w:rPr>
          <w:rFonts w:asciiTheme="minorHAnsi" w:hAnsiTheme="minorHAnsi" w:cs="Arial"/>
          <w:lang w:val="en-US"/>
        </w:rPr>
        <w:t>sensitive statistics.</w:t>
      </w:r>
    </w:p>
    <w:p w14:paraId="39820E4F" w14:textId="583B76F9" w:rsidR="00D73216" w:rsidRPr="00D73216" w:rsidRDefault="00D73216" w:rsidP="640B6DD8">
      <w:pPr>
        <w:pStyle w:val="NoSpacing"/>
        <w:ind w:left="360"/>
        <w:jc w:val="both"/>
        <w:rPr>
          <w:rFonts w:asciiTheme="minorHAnsi" w:hAnsiTheme="minorHAnsi" w:cs="Arial"/>
          <w:lang w:val="en-US"/>
        </w:rPr>
      </w:pPr>
    </w:p>
    <w:p w14:paraId="38D87842" w14:textId="0FDFF138" w:rsidR="2122F2BF" w:rsidRDefault="2122F2BF" w:rsidP="640B6DD8">
      <w:pPr>
        <w:pStyle w:val="NoSpacing"/>
        <w:numPr>
          <w:ilvl w:val="0"/>
          <w:numId w:val="4"/>
        </w:numPr>
        <w:jc w:val="both"/>
        <w:rPr>
          <w:rFonts w:asciiTheme="minorHAnsi" w:hAnsiTheme="minorHAnsi"/>
        </w:rPr>
      </w:pPr>
      <w:r w:rsidRPr="69BF2BD2">
        <w:rPr>
          <w:rFonts w:asciiTheme="minorHAnsi" w:hAnsiTheme="minorHAnsi" w:cs="Arial"/>
          <w:lang w:eastAsia="en-CA"/>
        </w:rPr>
        <w:t xml:space="preserve">Use gender-responsive data collection techniques, such as </w:t>
      </w:r>
      <w:r w:rsidRPr="69BF2BD2">
        <w:rPr>
          <w:rFonts w:asciiTheme="minorHAnsi" w:eastAsia="Times New Roman" w:hAnsiTheme="minorHAnsi" w:cs="Arial"/>
        </w:rPr>
        <w:t>separate focus groups</w:t>
      </w:r>
      <w:r w:rsidR="4EFC5D00" w:rsidRPr="69BF2BD2">
        <w:rPr>
          <w:rFonts w:asciiTheme="minorHAnsi" w:eastAsia="Times New Roman" w:hAnsiTheme="minorHAnsi" w:cs="Arial"/>
        </w:rPr>
        <w:t xml:space="preserve"> and safe spaces</w:t>
      </w:r>
      <w:r w:rsidRPr="69BF2BD2">
        <w:rPr>
          <w:rFonts w:asciiTheme="minorHAnsi" w:eastAsia="Times New Roman" w:hAnsiTheme="minorHAnsi" w:cs="Arial"/>
        </w:rPr>
        <w:t xml:space="preserve"> for women and men, </w:t>
      </w:r>
      <w:proofErr w:type="gramStart"/>
      <w:r w:rsidRPr="69BF2BD2">
        <w:rPr>
          <w:rFonts w:asciiTheme="minorHAnsi" w:eastAsia="Times New Roman" w:hAnsiTheme="minorHAnsi" w:cs="Arial"/>
        </w:rPr>
        <w:t>girls</w:t>
      </w:r>
      <w:proofErr w:type="gramEnd"/>
      <w:r w:rsidRPr="69BF2BD2">
        <w:rPr>
          <w:rFonts w:asciiTheme="minorHAnsi" w:eastAsia="Times New Roman" w:hAnsiTheme="minorHAnsi" w:cs="Arial"/>
        </w:rPr>
        <w:t xml:space="preserve"> and boys.</w:t>
      </w:r>
    </w:p>
    <w:p w14:paraId="73595FDB" w14:textId="77777777" w:rsidR="640B6DD8" w:rsidRDefault="640B6DD8" w:rsidP="640B6DD8">
      <w:pPr>
        <w:pStyle w:val="NoSpacing"/>
        <w:ind w:left="360"/>
        <w:jc w:val="both"/>
        <w:rPr>
          <w:rFonts w:asciiTheme="minorHAnsi" w:hAnsiTheme="minorHAnsi"/>
        </w:rPr>
      </w:pPr>
    </w:p>
    <w:p w14:paraId="0169DED8" w14:textId="4AEC3B0E" w:rsidR="2122F2BF" w:rsidRDefault="2122F2BF" w:rsidP="640B6DD8">
      <w:pPr>
        <w:pStyle w:val="NoSpacing"/>
        <w:numPr>
          <w:ilvl w:val="0"/>
          <w:numId w:val="4"/>
        </w:numPr>
        <w:jc w:val="both"/>
        <w:rPr>
          <w:rFonts w:asciiTheme="minorHAnsi" w:hAnsiTheme="minorHAnsi"/>
          <w:lang w:val="en-US"/>
        </w:rPr>
      </w:pPr>
      <w:r w:rsidRPr="640B6DD8">
        <w:rPr>
          <w:rFonts w:asciiTheme="minorHAnsi" w:hAnsiTheme="minorHAnsi" w:cs="Arial"/>
          <w:lang w:val="en-US"/>
        </w:rPr>
        <w:t xml:space="preserve">Use participatory </w:t>
      </w:r>
      <w:r w:rsidR="32D14FE3" w:rsidRPr="640B6DD8">
        <w:rPr>
          <w:rFonts w:asciiTheme="minorHAnsi" w:hAnsiTheme="minorHAnsi" w:cs="Arial"/>
          <w:lang w:val="en-US"/>
        </w:rPr>
        <w:t xml:space="preserve">reporting </w:t>
      </w:r>
      <w:r w:rsidRPr="640B6DD8">
        <w:rPr>
          <w:rFonts w:asciiTheme="minorHAnsi" w:hAnsiTheme="minorHAnsi" w:cs="Arial"/>
          <w:lang w:val="en-US"/>
        </w:rPr>
        <w:t xml:space="preserve">methods involving women and men to increase ownership of monitoring processes. Tap into the expertise of CSOs to support this process. </w:t>
      </w:r>
    </w:p>
    <w:p w14:paraId="0AE925A2" w14:textId="7BA35853" w:rsidR="640B6DD8" w:rsidRDefault="640B6DD8" w:rsidP="640B6DD8">
      <w:pPr>
        <w:pStyle w:val="NoSpacing"/>
        <w:jc w:val="both"/>
        <w:rPr>
          <w:rFonts w:asciiTheme="minorHAnsi" w:hAnsiTheme="minorHAnsi" w:cs="Arial"/>
          <w:b/>
          <w:bCs/>
          <w:lang w:val="en-US"/>
        </w:rPr>
      </w:pPr>
    </w:p>
    <w:p w14:paraId="14BA6B77" w14:textId="7E7CE584" w:rsidR="4A5067CC" w:rsidRDefault="4A5067CC" w:rsidP="640B6DD8">
      <w:pPr>
        <w:pStyle w:val="NoSpacing"/>
        <w:jc w:val="both"/>
        <w:rPr>
          <w:rFonts w:asciiTheme="minorHAnsi" w:hAnsiTheme="minorHAnsi" w:cs="Arial"/>
          <w:b/>
          <w:bCs/>
          <w:lang w:val="en-US"/>
        </w:rPr>
      </w:pPr>
      <w:r w:rsidRPr="640B6DD8">
        <w:rPr>
          <w:rFonts w:asciiTheme="minorHAnsi" w:hAnsiTheme="minorHAnsi" w:cs="Arial"/>
          <w:b/>
          <w:bCs/>
          <w:lang w:val="en-US"/>
        </w:rPr>
        <w:t>Evaluation</w:t>
      </w:r>
    </w:p>
    <w:p w14:paraId="561B14BF" w14:textId="71CD0E9F" w:rsidR="640B6DD8" w:rsidRDefault="640B6DD8" w:rsidP="640B6DD8">
      <w:pPr>
        <w:pStyle w:val="NoSpacing"/>
        <w:jc w:val="both"/>
        <w:rPr>
          <w:rFonts w:asciiTheme="minorHAnsi" w:hAnsiTheme="minorHAnsi" w:cs="Arial"/>
          <w:lang w:val="en-US"/>
        </w:rPr>
      </w:pPr>
    </w:p>
    <w:p w14:paraId="3BDE4B6C" w14:textId="36A248AE" w:rsidR="004F6053" w:rsidRDefault="08F54CFE" w:rsidP="6A926E9B">
      <w:pPr>
        <w:pStyle w:val="NoSpacing"/>
        <w:numPr>
          <w:ilvl w:val="0"/>
          <w:numId w:val="4"/>
        </w:numPr>
        <w:jc w:val="both"/>
        <w:rPr>
          <w:rFonts w:asciiTheme="minorHAnsi" w:hAnsiTheme="minorHAnsi" w:cs="Arial"/>
          <w:lang w:val="en-US"/>
        </w:rPr>
      </w:pPr>
      <w:r w:rsidRPr="6A926E9B">
        <w:rPr>
          <w:rFonts w:asciiTheme="minorHAnsi" w:hAnsiTheme="minorHAnsi" w:cs="Arial"/>
          <w:lang w:val="en-US"/>
        </w:rPr>
        <w:t xml:space="preserve">Ensure evaluation TOR </w:t>
      </w:r>
      <w:r w:rsidR="2F640CED" w:rsidRPr="6A926E9B">
        <w:rPr>
          <w:rFonts w:asciiTheme="minorHAnsi" w:hAnsiTheme="minorHAnsi" w:cs="Arial"/>
          <w:lang w:val="en-US"/>
        </w:rPr>
        <w:t>are</w:t>
      </w:r>
      <w:r w:rsidRPr="6A926E9B">
        <w:rPr>
          <w:rFonts w:asciiTheme="minorHAnsi" w:hAnsiTheme="minorHAnsi" w:cs="Arial"/>
          <w:lang w:val="en-US"/>
        </w:rPr>
        <w:t xml:space="preserve"> compliant with </w:t>
      </w:r>
      <w:r w:rsidR="004F6053" w:rsidRPr="6A926E9B">
        <w:rPr>
          <w:rFonts w:asciiTheme="minorHAnsi" w:hAnsiTheme="minorHAnsi" w:cs="Arial"/>
          <w:lang w:val="en-US"/>
        </w:rPr>
        <w:t>UNEG Guidance for Integrating Gender Equality in Evaluation</w:t>
      </w:r>
      <w:r w:rsidR="266872A6" w:rsidRPr="6A926E9B">
        <w:rPr>
          <w:rFonts w:asciiTheme="minorHAnsi" w:hAnsiTheme="minorHAnsi" w:cs="Arial"/>
          <w:lang w:val="en-US"/>
        </w:rPr>
        <w:t xml:space="preserve"> and UN-SWAP 2.0 Evaluation Performance Indicator criteria</w:t>
      </w:r>
      <w:r w:rsidR="004F6053" w:rsidRPr="6A926E9B">
        <w:rPr>
          <w:rFonts w:asciiTheme="minorHAnsi" w:hAnsiTheme="minorHAnsi" w:cs="Arial"/>
          <w:lang w:val="en-US"/>
        </w:rPr>
        <w:t>.</w:t>
      </w:r>
    </w:p>
    <w:p w14:paraId="3CA6B076" w14:textId="7F90EC3E" w:rsidR="00D73216" w:rsidRPr="00D73216" w:rsidRDefault="00D73216" w:rsidP="640B6DD8">
      <w:pPr>
        <w:pStyle w:val="NoSpacing"/>
        <w:jc w:val="both"/>
        <w:rPr>
          <w:rFonts w:asciiTheme="minorHAnsi" w:hAnsiTheme="minorHAnsi" w:cs="Arial"/>
          <w:lang w:val="en-US"/>
        </w:rPr>
      </w:pPr>
    </w:p>
    <w:p w14:paraId="117EF8DF" w14:textId="2FD24A1E" w:rsidR="00D73216" w:rsidRPr="00D73216" w:rsidRDefault="005582C1" w:rsidP="6A926E9B">
      <w:pPr>
        <w:pStyle w:val="NoSpacing"/>
        <w:numPr>
          <w:ilvl w:val="0"/>
          <w:numId w:val="4"/>
        </w:numPr>
        <w:jc w:val="both"/>
        <w:rPr>
          <w:rFonts w:asciiTheme="minorHAnsi" w:eastAsiaTheme="minorEastAsia" w:hAnsiTheme="minorHAnsi" w:cstheme="minorBidi"/>
          <w:lang w:val="en-US"/>
        </w:rPr>
      </w:pPr>
      <w:r w:rsidRPr="6A926E9B">
        <w:rPr>
          <w:rFonts w:asciiTheme="minorHAnsi" w:hAnsiTheme="minorHAnsi" w:cs="Arial"/>
          <w:lang w:val="en-US"/>
        </w:rPr>
        <w:t xml:space="preserve">Ensure the evaluation team includes adequate gender </w:t>
      </w:r>
      <w:proofErr w:type="gramStart"/>
      <w:r w:rsidRPr="6A926E9B">
        <w:rPr>
          <w:rFonts w:asciiTheme="minorHAnsi" w:hAnsiTheme="minorHAnsi" w:cs="Arial"/>
          <w:lang w:val="en-US"/>
        </w:rPr>
        <w:t>expertise, and</w:t>
      </w:r>
      <w:proofErr w:type="gramEnd"/>
      <w:r w:rsidRPr="6A926E9B">
        <w:rPr>
          <w:rFonts w:asciiTheme="minorHAnsi" w:hAnsiTheme="minorHAnsi" w:cs="Arial"/>
          <w:lang w:val="en-US"/>
        </w:rPr>
        <w:t xml:space="preserve"> is gender</w:t>
      </w:r>
      <w:r w:rsidR="7C79F4D9" w:rsidRPr="6A926E9B">
        <w:rPr>
          <w:rFonts w:asciiTheme="minorHAnsi" w:hAnsiTheme="minorHAnsi" w:cs="Arial"/>
          <w:lang w:val="en-US"/>
        </w:rPr>
        <w:t>-</w:t>
      </w:r>
      <w:r w:rsidRPr="6A926E9B">
        <w:rPr>
          <w:rFonts w:asciiTheme="minorHAnsi" w:hAnsiTheme="minorHAnsi" w:cs="Arial"/>
          <w:lang w:val="en-US"/>
        </w:rPr>
        <w:t>balanced as far as possible.</w:t>
      </w:r>
      <w:r w:rsidRPr="6A926E9B">
        <w:rPr>
          <w:rFonts w:asciiTheme="minorHAnsi" w:hAnsiTheme="minorHAnsi" w:cs="Arial"/>
          <w:lang w:eastAsia="en-CA"/>
        </w:rPr>
        <w:t xml:space="preserve"> </w:t>
      </w:r>
    </w:p>
    <w:p w14:paraId="02647AF1" w14:textId="2B413A3A" w:rsidR="00D73216" w:rsidRPr="00D73216" w:rsidRDefault="00D73216" w:rsidP="640B6DD8">
      <w:pPr>
        <w:pStyle w:val="NoSpacing"/>
        <w:jc w:val="both"/>
        <w:rPr>
          <w:rFonts w:asciiTheme="minorHAnsi" w:hAnsiTheme="minorHAnsi" w:cs="Arial"/>
          <w:lang w:eastAsia="en-CA"/>
        </w:rPr>
      </w:pPr>
    </w:p>
    <w:p w14:paraId="44B5C4BC" w14:textId="13AFDDBB" w:rsidR="00D73216" w:rsidRPr="00D73216" w:rsidRDefault="7727E112" w:rsidP="640B6DD8">
      <w:pPr>
        <w:pStyle w:val="NoSpacing"/>
        <w:numPr>
          <w:ilvl w:val="0"/>
          <w:numId w:val="4"/>
        </w:numPr>
        <w:jc w:val="both"/>
        <w:rPr>
          <w:lang w:val="en-US"/>
        </w:rPr>
      </w:pPr>
      <w:r w:rsidRPr="640B6DD8">
        <w:rPr>
          <w:rFonts w:asciiTheme="minorHAnsi" w:hAnsiTheme="minorHAnsi" w:cs="Arial"/>
          <w:lang w:eastAsia="en-CA"/>
        </w:rPr>
        <w:t xml:space="preserve">Ensure gender is visibly integrated as a cross-cutting issue in each of the evaluation topics, with gender-related questions mainstreamed into </w:t>
      </w:r>
      <w:r w:rsidR="143D13BE" w:rsidRPr="640B6DD8">
        <w:rPr>
          <w:rFonts w:asciiTheme="minorHAnsi" w:hAnsiTheme="minorHAnsi" w:cs="Arial"/>
          <w:lang w:eastAsia="en-CA"/>
        </w:rPr>
        <w:t>evaluation</w:t>
      </w:r>
      <w:r w:rsidRPr="640B6DD8">
        <w:rPr>
          <w:rFonts w:asciiTheme="minorHAnsi" w:eastAsia="Times New Roman" w:hAnsiTheme="minorHAnsi" w:cs="Arial"/>
        </w:rPr>
        <w:t xml:space="preserve"> plans and other documentation.</w:t>
      </w:r>
    </w:p>
    <w:p w14:paraId="2062331F" w14:textId="6AB762A0" w:rsidR="00D73216" w:rsidRPr="00D73216" w:rsidRDefault="00D73216" w:rsidP="640B6DD8">
      <w:pPr>
        <w:pStyle w:val="NoSpacing"/>
        <w:jc w:val="both"/>
        <w:rPr>
          <w:rFonts w:asciiTheme="minorHAnsi" w:hAnsiTheme="minorHAnsi" w:cs="Arial"/>
          <w:lang w:val="en-US"/>
        </w:rPr>
      </w:pPr>
    </w:p>
    <w:p w14:paraId="41D35F96" w14:textId="3924DA44" w:rsidR="00D73216" w:rsidRPr="00D73216" w:rsidRDefault="004F6053" w:rsidP="640B6DD8">
      <w:pPr>
        <w:pStyle w:val="NoSpacing"/>
        <w:numPr>
          <w:ilvl w:val="0"/>
          <w:numId w:val="4"/>
        </w:numPr>
        <w:jc w:val="both"/>
        <w:rPr>
          <w:rFonts w:asciiTheme="minorHAnsi" w:hAnsiTheme="minorHAnsi" w:cs="Arial"/>
          <w:lang w:val="en-US"/>
        </w:rPr>
      </w:pPr>
      <w:r w:rsidRPr="69BF2BD2">
        <w:rPr>
          <w:rFonts w:asciiTheme="minorHAnsi" w:hAnsiTheme="minorHAnsi" w:cs="Arial"/>
          <w:lang w:val="en-US"/>
        </w:rPr>
        <w:t xml:space="preserve">Make available gender-related evaluations reports, </w:t>
      </w:r>
      <w:r w:rsidR="000C6588">
        <w:rPr>
          <w:rFonts w:asciiTheme="minorHAnsi" w:hAnsiTheme="minorHAnsi" w:cs="Arial"/>
          <w:lang w:val="en-US"/>
        </w:rPr>
        <w:t>s</w:t>
      </w:r>
      <w:r w:rsidRPr="69BF2BD2">
        <w:rPr>
          <w:rFonts w:asciiTheme="minorHAnsi" w:hAnsiTheme="minorHAnsi" w:cs="Arial"/>
          <w:lang w:val="en-US"/>
        </w:rPr>
        <w:t>corecard exercises, and other documentation that may prove useful to the M&amp;E team.</w:t>
      </w:r>
    </w:p>
    <w:p w14:paraId="101BB164" w14:textId="77777777" w:rsidR="00D73216" w:rsidRPr="00D73216" w:rsidRDefault="00D73216" w:rsidP="00D73216">
      <w:pPr>
        <w:pStyle w:val="NoSpacing"/>
        <w:ind w:left="360"/>
        <w:jc w:val="both"/>
        <w:rPr>
          <w:rFonts w:asciiTheme="minorHAnsi" w:hAnsiTheme="minorHAnsi" w:cs="Arial"/>
          <w:iCs/>
          <w:lang w:val="en-US"/>
        </w:rPr>
      </w:pPr>
    </w:p>
    <w:p w14:paraId="3C816617" w14:textId="077A20A8" w:rsidR="004F6053" w:rsidRDefault="004F6053" w:rsidP="640B6DD8">
      <w:pPr>
        <w:pStyle w:val="NoSpacing"/>
        <w:numPr>
          <w:ilvl w:val="0"/>
          <w:numId w:val="4"/>
        </w:numPr>
        <w:jc w:val="both"/>
        <w:rPr>
          <w:rFonts w:asciiTheme="minorHAnsi" w:hAnsiTheme="minorHAnsi" w:cs="Arial"/>
          <w:lang w:val="en-US"/>
        </w:rPr>
      </w:pPr>
      <w:r w:rsidRPr="640B6DD8">
        <w:rPr>
          <w:rFonts w:asciiTheme="minorHAnsi" w:hAnsiTheme="minorHAnsi" w:cs="Arial"/>
          <w:lang w:val="en-US"/>
        </w:rPr>
        <w:t xml:space="preserve">Employ both qualitative and quantitative data collection methods to contribute to triangulation of results and to capture </w:t>
      </w:r>
      <w:r w:rsidR="00D73216" w:rsidRPr="640B6DD8">
        <w:rPr>
          <w:rFonts w:asciiTheme="minorHAnsi" w:hAnsiTheme="minorHAnsi" w:cs="Arial"/>
          <w:lang w:val="en-US"/>
        </w:rPr>
        <w:t xml:space="preserve">gender-related </w:t>
      </w:r>
      <w:r w:rsidRPr="640B6DD8">
        <w:rPr>
          <w:rFonts w:asciiTheme="minorHAnsi" w:hAnsiTheme="minorHAnsi" w:cs="Arial"/>
          <w:lang w:val="en-US"/>
        </w:rPr>
        <w:t>change that is difficult to measure.</w:t>
      </w:r>
    </w:p>
    <w:p w14:paraId="780BED4D" w14:textId="7B0849DF" w:rsidR="00920635" w:rsidRDefault="00920635" w:rsidP="00920A78">
      <w:pPr>
        <w:jc w:val="both"/>
      </w:pPr>
    </w:p>
    <w:sectPr w:rsidR="00920635" w:rsidSect="002E1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C7994" w14:textId="77777777" w:rsidR="006D1CC6" w:rsidRDefault="006D1CC6" w:rsidP="0094663F">
      <w:r>
        <w:separator/>
      </w:r>
    </w:p>
  </w:endnote>
  <w:endnote w:type="continuationSeparator" w:id="0">
    <w:p w14:paraId="034C9B08" w14:textId="77777777" w:rsidR="006D1CC6" w:rsidRDefault="006D1CC6" w:rsidP="0094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8D76E" w14:textId="77777777" w:rsidR="006D1CC6" w:rsidRDefault="006D1CC6" w:rsidP="0094663F">
      <w:r>
        <w:separator/>
      </w:r>
    </w:p>
  </w:footnote>
  <w:footnote w:type="continuationSeparator" w:id="0">
    <w:p w14:paraId="4120B780" w14:textId="77777777" w:rsidR="006D1CC6" w:rsidRDefault="006D1CC6" w:rsidP="0094663F">
      <w:r>
        <w:continuationSeparator/>
      </w:r>
    </w:p>
  </w:footnote>
  <w:footnote w:id="1">
    <w:p w14:paraId="41C76208" w14:textId="1EA0A671" w:rsidR="0094663F" w:rsidRDefault="0094663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A260B">
        <w:t>D</w:t>
      </w:r>
      <w:r>
        <w:t>eveloped</w:t>
      </w:r>
      <w:r w:rsidR="004A260B">
        <w:t xml:space="preserve"> and adapted</w:t>
      </w:r>
      <w:r>
        <w:t xml:space="preserve"> from UNSDG ‘Resource Book for Mainstreaming Gender in UN Common Programming at the Country Level (Feb 2020 draft).</w:t>
      </w:r>
    </w:p>
  </w:footnote>
  <w:footnote w:id="2">
    <w:p w14:paraId="76611D98" w14:textId="3E9C22F5" w:rsidR="00D73216" w:rsidRPr="00D73216" w:rsidRDefault="00D73216" w:rsidP="00D73216">
      <w:pPr>
        <w:rPr>
          <w:rFonts w:ascii="Times New Roman" w:eastAsia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D73216">
        <w:rPr>
          <w:rFonts w:eastAsia="Times New Roman" w:cs="Open Sans"/>
          <w:color w:val="000000" w:themeColor="text1"/>
          <w:sz w:val="20"/>
          <w:szCs w:val="20"/>
          <w:shd w:val="clear" w:color="auto" w:fill="FFFFFF"/>
        </w:rPr>
        <w:t>The Minimum Set of Gender Indicators was agreed by the UN Statistical Commission in 2013 as a guide for national production and international compilation of gender statistics and is a collection of 52 quantitative indicators and 11 qualitative indicators covering national norms and laws on gender equality.</w:t>
      </w:r>
    </w:p>
    <w:p w14:paraId="11D72B73" w14:textId="06B9549F" w:rsidR="00D73216" w:rsidRDefault="00D73216">
      <w:pPr>
        <w:pStyle w:val="FootnoteText"/>
      </w:pPr>
      <w:r>
        <w:t xml:space="preserve"> </w:t>
      </w:r>
      <w:r w:rsidRPr="00D73216">
        <w:t>https://www.un.org/development/desa/capacity-development/tools/tool/portal-on-minimum-set-of-gender-indicators/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D201F"/>
    <w:multiLevelType w:val="hybridMultilevel"/>
    <w:tmpl w:val="E92AA048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" w15:restartNumberingAfterBreak="0">
    <w:nsid w:val="1A7E089B"/>
    <w:multiLevelType w:val="hybridMultilevel"/>
    <w:tmpl w:val="680E7EE2"/>
    <w:lvl w:ilvl="0" w:tplc="EB3265A8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BE70C4"/>
    <w:multiLevelType w:val="hybridMultilevel"/>
    <w:tmpl w:val="DD4C648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D32058"/>
    <w:multiLevelType w:val="hybridMultilevel"/>
    <w:tmpl w:val="4686F98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14337B"/>
    <w:multiLevelType w:val="hybridMultilevel"/>
    <w:tmpl w:val="8D043BC2"/>
    <w:lvl w:ilvl="0" w:tplc="04090019">
      <w:start w:val="1"/>
      <w:numFmt w:val="lowerLetter"/>
      <w:lvlText w:val="%1."/>
      <w:lvlJc w:val="left"/>
      <w:pPr>
        <w:ind w:left="17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5" w15:restartNumberingAfterBreak="0">
    <w:nsid w:val="5C945EA7"/>
    <w:multiLevelType w:val="hybridMultilevel"/>
    <w:tmpl w:val="0C00CAE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635"/>
    <w:rsid w:val="00036901"/>
    <w:rsid w:val="000C6588"/>
    <w:rsid w:val="000D67DE"/>
    <w:rsid w:val="002E10ED"/>
    <w:rsid w:val="00384A3F"/>
    <w:rsid w:val="004A260B"/>
    <w:rsid w:val="004F6053"/>
    <w:rsid w:val="005582C1"/>
    <w:rsid w:val="006D1CC6"/>
    <w:rsid w:val="007B1539"/>
    <w:rsid w:val="007E02DA"/>
    <w:rsid w:val="0084335C"/>
    <w:rsid w:val="00920635"/>
    <w:rsid w:val="00920A78"/>
    <w:rsid w:val="0094663F"/>
    <w:rsid w:val="009B12F1"/>
    <w:rsid w:val="00A261EE"/>
    <w:rsid w:val="00D439B1"/>
    <w:rsid w:val="00D73216"/>
    <w:rsid w:val="00E0225C"/>
    <w:rsid w:val="00F96EFD"/>
    <w:rsid w:val="00FD3C7C"/>
    <w:rsid w:val="08F54CFE"/>
    <w:rsid w:val="0E5AAF7C"/>
    <w:rsid w:val="11FC1952"/>
    <w:rsid w:val="127227C7"/>
    <w:rsid w:val="143D13BE"/>
    <w:rsid w:val="1A736907"/>
    <w:rsid w:val="1AA5C35E"/>
    <w:rsid w:val="1C2D6858"/>
    <w:rsid w:val="1FE534A5"/>
    <w:rsid w:val="2122F2BF"/>
    <w:rsid w:val="266872A6"/>
    <w:rsid w:val="2D61561D"/>
    <w:rsid w:val="2E9BC829"/>
    <w:rsid w:val="2F640CED"/>
    <w:rsid w:val="2F9D5CB9"/>
    <w:rsid w:val="31D368EB"/>
    <w:rsid w:val="32D14FE3"/>
    <w:rsid w:val="3A7F332B"/>
    <w:rsid w:val="3C9E9388"/>
    <w:rsid w:val="42F93B01"/>
    <w:rsid w:val="433DDAAF"/>
    <w:rsid w:val="437BAA23"/>
    <w:rsid w:val="45618C3C"/>
    <w:rsid w:val="49D1C34A"/>
    <w:rsid w:val="4A5067CC"/>
    <w:rsid w:val="4D09640C"/>
    <w:rsid w:val="4DB92C2F"/>
    <w:rsid w:val="4EFC5D00"/>
    <w:rsid w:val="5057A826"/>
    <w:rsid w:val="5075BD05"/>
    <w:rsid w:val="51F37887"/>
    <w:rsid w:val="5226E6E7"/>
    <w:rsid w:val="56AB0BEF"/>
    <w:rsid w:val="58B74D89"/>
    <w:rsid w:val="5B7C2F91"/>
    <w:rsid w:val="5DB6377F"/>
    <w:rsid w:val="5FC7D7F0"/>
    <w:rsid w:val="61A43FDC"/>
    <w:rsid w:val="640B6DD8"/>
    <w:rsid w:val="64942CC6"/>
    <w:rsid w:val="65328741"/>
    <w:rsid w:val="66C61006"/>
    <w:rsid w:val="69BF2BD2"/>
    <w:rsid w:val="6A926E9B"/>
    <w:rsid w:val="6C9A5BC6"/>
    <w:rsid w:val="6E77FA7E"/>
    <w:rsid w:val="723BA9EB"/>
    <w:rsid w:val="74D4F032"/>
    <w:rsid w:val="7727E112"/>
    <w:rsid w:val="7819B113"/>
    <w:rsid w:val="7C79F4D9"/>
    <w:rsid w:val="7D082261"/>
    <w:rsid w:val="7F12A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91103"/>
  <w15:chartTrackingRefBased/>
  <w15:docId w15:val="{CA0D0246-46BA-4544-A056-B35C2AD3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,Dot pt,F5 List Paragraph,List Paragraph Char Char Char,Indicator Text,Numbered Para 1,Bullet 1,Bullet Points,List Paragraph2,MAIN CONTENT,Normal numbered,List Paragraph1,Colorful List - Accent 11,Issue Action POC,3,No Spacing1"/>
    <w:basedOn w:val="Normal"/>
    <w:link w:val="ListParagraphChar"/>
    <w:uiPriority w:val="34"/>
    <w:qFormat/>
    <w:rsid w:val="00920635"/>
    <w:pPr>
      <w:numPr>
        <w:numId w:val="1"/>
      </w:numPr>
      <w:spacing w:after="120"/>
      <w:jc w:val="both"/>
    </w:pPr>
    <w:rPr>
      <w:rFonts w:eastAsia="Calibri" w:cs="Arial"/>
      <w:sz w:val="20"/>
      <w:szCs w:val="20"/>
      <w:lang w:val="en-CA" w:eastAsia="en-GB"/>
    </w:rPr>
  </w:style>
  <w:style w:type="paragraph" w:styleId="NoSpacing">
    <w:name w:val="No Spacing"/>
    <w:uiPriority w:val="99"/>
    <w:qFormat/>
    <w:rsid w:val="00920635"/>
    <w:rPr>
      <w:rFonts w:ascii="Calibri" w:eastAsia="Calibri" w:hAnsi="Calibri" w:cs="Times New Roman"/>
      <w:sz w:val="22"/>
      <w:szCs w:val="22"/>
      <w:lang w:val="en-CA"/>
    </w:rPr>
  </w:style>
  <w:style w:type="character" w:customStyle="1" w:styleId="ListParagraphChar">
    <w:name w:val="List Paragraph Char"/>
    <w:aliases w:val="References Char,Dot pt Char,F5 List Paragraph Char,List Paragraph Char Char Char Char,Indicator Text Char,Numbered Para 1 Char,Bullet 1 Char,Bullet Points Char,List Paragraph2 Char,MAIN CONTENT Char,Normal numbered Char,3 Char"/>
    <w:basedOn w:val="DefaultParagraphFont"/>
    <w:link w:val="ListParagraph"/>
    <w:uiPriority w:val="34"/>
    <w:locked/>
    <w:rsid w:val="00920635"/>
    <w:rPr>
      <w:rFonts w:eastAsia="Calibri" w:cs="Arial"/>
      <w:sz w:val="20"/>
      <w:szCs w:val="20"/>
      <w:lang w:val="en-CA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66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66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663F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FD3C7C"/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D67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table" w:styleId="TableGrid">
    <w:name w:val="Table Grid"/>
    <w:basedOn w:val="TableNormal"/>
    <w:uiPriority w:val="39"/>
    <w:rsid w:val="007B1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3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E2ED6EF13AD8468F9F6450BEA53A76" ma:contentTypeVersion="5" ma:contentTypeDescription="Create a new document." ma:contentTypeScope="" ma:versionID="e895a0e14ecdcbdc001207b88eb68029">
  <xsd:schema xmlns:xsd="http://www.w3.org/2001/XMLSchema" xmlns:xs="http://www.w3.org/2001/XMLSchema" xmlns:p="http://schemas.microsoft.com/office/2006/metadata/properties" xmlns:ns2="6e38f6cf-469e-4c31-af3f-aa47f9e038a0" targetNamespace="http://schemas.microsoft.com/office/2006/metadata/properties" ma:root="true" ma:fieldsID="8f438b23a1ab617a506ed5a86a302497" ns2:_="">
    <xsd:import namespace="6e38f6cf-469e-4c31-af3f-aa47f9e038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8f6cf-469e-4c31-af3f-aa47f9e038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0C51B1-8DAA-4BB2-80CF-097A8B604C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6552F7-6814-45A7-8F18-230B145D91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0D0643-120F-4EB5-B95A-F4043D3F7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38f6cf-469e-4c31-af3f-aa47f9e03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Lee Esser</dc:creator>
  <cp:keywords/>
  <dc:description/>
  <cp:lastModifiedBy>Denise Laaveri</cp:lastModifiedBy>
  <cp:revision>16</cp:revision>
  <dcterms:created xsi:type="dcterms:W3CDTF">2020-11-19T12:37:00Z</dcterms:created>
  <dcterms:modified xsi:type="dcterms:W3CDTF">2021-02-18T08:31:00Z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0x0101002BE2ED6EF13AD8468F9F6450BEA53A76</vt:lpwstr>
  </property>
</Properties>
</file>