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0" w:rightFromText="180" w:vertAnchor="text" w:horzAnchor="margin" w:tblpY="-224"/>
        <w:tblW w:w="0" w:type="auto"/>
        <w:tblLook w:val="04A0" w:firstRow="1" w:lastRow="0" w:firstColumn="1" w:lastColumn="0" w:noHBand="0" w:noVBand="1"/>
      </w:tblPr>
      <w:tblGrid>
        <w:gridCol w:w="3116"/>
        <w:gridCol w:w="479"/>
        <w:gridCol w:w="2638"/>
        <w:gridCol w:w="3117"/>
      </w:tblGrid>
      <w:tr w:rsidR="00633C2A" w:rsidRPr="00151947" w14:paraId="5ADCBD92" w14:textId="77777777" w:rsidTr="31B8688D">
        <w:tc>
          <w:tcPr>
            <w:tcW w:w="9350" w:type="dxa"/>
            <w:gridSpan w:val="4"/>
            <w:shd w:val="clear" w:color="auto" w:fill="CC3399"/>
          </w:tcPr>
          <w:p w14:paraId="4388316B" w14:textId="77777777" w:rsidR="00633C2A" w:rsidRPr="00151947" w:rsidRDefault="00633C2A" w:rsidP="00633C2A">
            <w:pPr>
              <w:jc w:val="center"/>
              <w:rPr>
                <w:rFonts w:eastAsia="Brush Script MT"/>
                <w:b/>
                <w:bCs/>
                <w:color w:val="FFFFFF" w:themeColor="background1"/>
                <w:sz w:val="28"/>
                <w:szCs w:val="28"/>
              </w:rPr>
            </w:pPr>
            <w:r w:rsidRPr="00151947">
              <w:rPr>
                <w:rFonts w:eastAsia="Brush Script MT"/>
                <w:b/>
                <w:bCs/>
                <w:color w:val="FFFFFF" w:themeColor="background1"/>
                <w:sz w:val="28"/>
                <w:szCs w:val="28"/>
              </w:rPr>
              <w:t>UNCT-SWAP Gender Equality Scorecard Toolkit Resource</w:t>
            </w:r>
          </w:p>
        </w:tc>
      </w:tr>
      <w:tr w:rsidR="00633C2A" w14:paraId="091FD4DA" w14:textId="77777777" w:rsidTr="31B8688D">
        <w:tc>
          <w:tcPr>
            <w:tcW w:w="3595" w:type="dxa"/>
            <w:gridSpan w:val="2"/>
            <w:shd w:val="clear" w:color="auto" w:fill="FFCCCC"/>
          </w:tcPr>
          <w:p w14:paraId="616172DD" w14:textId="77777777" w:rsidR="00633C2A" w:rsidRPr="00151947" w:rsidRDefault="00633C2A" w:rsidP="00633C2A">
            <w:pPr>
              <w:rPr>
                <w:rFonts w:ascii="Forte" w:eastAsia="Brush Script MT" w:hAnsi="Forte" w:cs="Brush Script MT"/>
                <w:sz w:val="28"/>
                <w:szCs w:val="28"/>
              </w:rPr>
            </w:pPr>
            <w:r w:rsidRPr="00151947">
              <w:rPr>
                <w:rFonts w:ascii="Forte" w:eastAsia="Brush Script MT" w:hAnsi="Forte" w:cs="Brush Script MT"/>
                <w:sz w:val="28"/>
                <w:szCs w:val="28"/>
              </w:rPr>
              <w:t>What?</w:t>
            </w:r>
          </w:p>
          <w:p w14:paraId="7280668B" w14:textId="37652D3C" w:rsidR="00633C2A" w:rsidRDefault="00633C2A" w:rsidP="00633C2A">
            <w:r w:rsidRPr="00633C2A">
              <w:rPr>
                <w:i/>
                <w:iCs/>
              </w:rPr>
              <w:t>United Nations Country Team Myanmar Gender Theme Group Annual Work Plan</w:t>
            </w:r>
            <w:r>
              <w:t xml:space="preserve"> (GTG 2020)</w:t>
            </w:r>
            <w:r w:rsidR="003018F0">
              <w:t>.</w:t>
            </w:r>
          </w:p>
          <w:p w14:paraId="42EACFAB" w14:textId="77777777" w:rsidR="00633C2A" w:rsidRDefault="00633C2A" w:rsidP="00633C2A"/>
          <w:p w14:paraId="452D9F9F" w14:textId="77777777" w:rsidR="00633C2A" w:rsidRDefault="00633C2A" w:rsidP="00633C2A"/>
        </w:tc>
        <w:tc>
          <w:tcPr>
            <w:tcW w:w="5755" w:type="dxa"/>
            <w:gridSpan w:val="2"/>
            <w:shd w:val="clear" w:color="auto" w:fill="FF99CC"/>
          </w:tcPr>
          <w:p w14:paraId="02518210" w14:textId="77777777" w:rsidR="00633C2A" w:rsidRDefault="00633C2A" w:rsidP="00633C2A">
            <w:pPr>
              <w:rPr>
                <w:rFonts w:ascii="Forte" w:eastAsia="Brush Script MT" w:hAnsi="Forte" w:cs="Brush Script MT"/>
                <w:sz w:val="28"/>
                <w:szCs w:val="28"/>
              </w:rPr>
            </w:pPr>
            <w:r w:rsidRPr="00151947">
              <w:rPr>
                <w:rFonts w:ascii="Forte" w:eastAsia="Brush Script MT" w:hAnsi="Forte" w:cs="Brush Script MT"/>
                <w:sz w:val="28"/>
                <w:szCs w:val="28"/>
              </w:rPr>
              <w:t>Why?</w:t>
            </w:r>
          </w:p>
          <w:p w14:paraId="6C443B0C" w14:textId="36A16A2D" w:rsidR="00633C2A" w:rsidRPr="00CF03CE" w:rsidRDefault="003018F0" w:rsidP="31B8688D">
            <w:pPr>
              <w:rPr>
                <w:rFonts w:eastAsia="Brush Script MT"/>
              </w:rPr>
            </w:pPr>
            <w:r w:rsidRPr="31B8688D">
              <w:rPr>
                <w:rFonts w:eastAsia="Brush Script MT"/>
              </w:rPr>
              <w:t>This Annual Work Plan from the Myanmar UNCT</w:t>
            </w:r>
            <w:r w:rsidR="687439CC" w:rsidRPr="31B8688D">
              <w:rPr>
                <w:rFonts w:eastAsia="Brush Script MT"/>
              </w:rPr>
              <w:t xml:space="preserve"> </w:t>
            </w:r>
            <w:r w:rsidR="00633C2A" w:rsidRPr="31B8688D">
              <w:rPr>
                <w:rFonts w:eastAsia="Brush Script MT"/>
              </w:rPr>
              <w:t>offer</w:t>
            </w:r>
            <w:r w:rsidR="7904C893" w:rsidRPr="31B8688D">
              <w:rPr>
                <w:rFonts w:eastAsia="Brush Script MT"/>
              </w:rPr>
              <w:t>s</w:t>
            </w:r>
            <w:r w:rsidR="00633C2A" w:rsidRPr="31B8688D">
              <w:rPr>
                <w:rFonts w:eastAsia="Brush Script MT"/>
              </w:rPr>
              <w:t xml:space="preserve"> a good practice model of integrating the UNCT-SWAP as a focus area for work planning for the Gender Theme Group (GTG).  </w:t>
            </w:r>
          </w:p>
          <w:p w14:paraId="687CA0DB" w14:textId="59E6DF76" w:rsidR="00633C2A" w:rsidRPr="00CF03CE" w:rsidRDefault="00633C2A" w:rsidP="31B8688D">
            <w:pPr>
              <w:rPr>
                <w:rFonts w:eastAsia="Brush Script MT"/>
              </w:rPr>
            </w:pPr>
          </w:p>
          <w:p w14:paraId="2AE40851" w14:textId="697317F0" w:rsidR="00633C2A" w:rsidRPr="00CF03CE" w:rsidRDefault="00633C2A" w:rsidP="00633C2A">
            <w:pPr>
              <w:rPr>
                <w:rFonts w:eastAsia="Brush Script MT"/>
              </w:rPr>
            </w:pPr>
            <w:r w:rsidRPr="31B8688D">
              <w:rPr>
                <w:rFonts w:eastAsia="Brush Script MT"/>
              </w:rPr>
              <w:t xml:space="preserve">It includes results, indicators, </w:t>
            </w:r>
            <w:proofErr w:type="gramStart"/>
            <w:r w:rsidRPr="31B8688D">
              <w:rPr>
                <w:rFonts w:eastAsia="Brush Script MT"/>
              </w:rPr>
              <w:t>targets</w:t>
            </w:r>
            <w:proofErr w:type="gramEnd"/>
            <w:r w:rsidRPr="31B8688D">
              <w:rPr>
                <w:rFonts w:eastAsia="Brush Script MT"/>
              </w:rPr>
              <w:t xml:space="preserve"> and activities that are aligned to the UNCT-SWAP Performance Indicators and the country-level Action Plan. The AWP is in line with the requirements for UNCT-SWAP Performance Indicator 5.1 (criteria b and d) and supportive of other Performance Indicators related to identified activities.  </w:t>
            </w:r>
          </w:p>
        </w:tc>
      </w:tr>
      <w:tr w:rsidR="00633C2A" w14:paraId="09D9BBF6" w14:textId="77777777" w:rsidTr="31B8688D">
        <w:tc>
          <w:tcPr>
            <w:tcW w:w="9350" w:type="dxa"/>
            <w:gridSpan w:val="4"/>
            <w:shd w:val="clear" w:color="auto" w:fill="auto"/>
          </w:tcPr>
          <w:p w14:paraId="253553BA" w14:textId="77777777" w:rsidR="00633C2A" w:rsidRPr="00151947" w:rsidRDefault="00633C2A" w:rsidP="00633C2A">
            <w:pPr>
              <w:rPr>
                <w:rFonts w:ascii="Forte" w:eastAsia="Brush Script MT" w:hAnsi="Forte" w:cs="Brush Script MT"/>
                <w:sz w:val="28"/>
                <w:szCs w:val="28"/>
              </w:rPr>
            </w:pPr>
          </w:p>
        </w:tc>
      </w:tr>
      <w:tr w:rsidR="00633C2A" w:rsidRPr="00B23671" w14:paraId="571A0882" w14:textId="77777777" w:rsidTr="31B8688D">
        <w:tc>
          <w:tcPr>
            <w:tcW w:w="9350" w:type="dxa"/>
            <w:gridSpan w:val="4"/>
            <w:shd w:val="clear" w:color="auto" w:fill="CC3399"/>
          </w:tcPr>
          <w:p w14:paraId="010C7CBD" w14:textId="77777777" w:rsidR="00633C2A" w:rsidRPr="00B23671" w:rsidRDefault="00633C2A" w:rsidP="00633C2A">
            <w:pPr>
              <w:jc w:val="center"/>
              <w:rPr>
                <w:rFonts w:eastAsia="Brush Script MT"/>
                <w:b/>
                <w:bCs/>
                <w:color w:val="FFFFFF" w:themeColor="background1"/>
                <w:sz w:val="28"/>
                <w:szCs w:val="28"/>
              </w:rPr>
            </w:pPr>
            <w:r w:rsidRPr="00B23671">
              <w:rPr>
                <w:rFonts w:eastAsia="Brush Script MT"/>
                <w:b/>
                <w:bCs/>
                <w:color w:val="FFFFFF" w:themeColor="background1"/>
                <w:sz w:val="28"/>
                <w:szCs w:val="28"/>
              </w:rPr>
              <w:t xml:space="preserve">Performance Indicator </w:t>
            </w:r>
            <w:r>
              <w:rPr>
                <w:rFonts w:eastAsia="Brush Script MT"/>
                <w:b/>
                <w:bCs/>
                <w:color w:val="FFFFFF" w:themeColor="background1"/>
                <w:sz w:val="28"/>
                <w:szCs w:val="28"/>
              </w:rPr>
              <w:t>5.1</w:t>
            </w:r>
            <w:r w:rsidRPr="00B23671">
              <w:rPr>
                <w:rFonts w:eastAsia="Brush Script MT"/>
                <w:b/>
                <w:bCs/>
                <w:color w:val="FFFFFF" w:themeColor="background1"/>
                <w:sz w:val="28"/>
                <w:szCs w:val="28"/>
              </w:rPr>
              <w:t xml:space="preserve"> </w:t>
            </w:r>
            <w:r>
              <w:rPr>
                <w:rFonts w:eastAsia="Brush Script MT"/>
                <w:b/>
                <w:bCs/>
                <w:color w:val="FFFFFF" w:themeColor="background1"/>
                <w:sz w:val="28"/>
                <w:szCs w:val="28"/>
              </w:rPr>
              <w:t>Gender Coordination</w:t>
            </w:r>
          </w:p>
        </w:tc>
      </w:tr>
      <w:tr w:rsidR="00633C2A" w:rsidRPr="00B23671" w14:paraId="3F87F50E" w14:textId="77777777" w:rsidTr="31B8688D">
        <w:tc>
          <w:tcPr>
            <w:tcW w:w="3116" w:type="dxa"/>
            <w:shd w:val="clear" w:color="auto" w:fill="FF99CC"/>
          </w:tcPr>
          <w:p w14:paraId="1CC53B02" w14:textId="77777777" w:rsidR="00633C2A" w:rsidRPr="001C3BA9" w:rsidRDefault="00633C2A" w:rsidP="00633C2A">
            <w:pPr>
              <w:jc w:val="center"/>
              <w:rPr>
                <w:rFonts w:ascii="Forte" w:eastAsia="Brush Script MT" w:hAnsi="Forte" w:cs="Brush Script MT"/>
                <w:b/>
                <w:bCs/>
                <w:sz w:val="28"/>
                <w:szCs w:val="28"/>
              </w:rPr>
            </w:pPr>
            <w:r w:rsidRPr="001C3BA9">
              <w:rPr>
                <w:b/>
                <w:bCs/>
              </w:rPr>
              <w:t>Approaches Minimum Requirements</w:t>
            </w:r>
          </w:p>
        </w:tc>
        <w:tc>
          <w:tcPr>
            <w:tcW w:w="3117" w:type="dxa"/>
            <w:gridSpan w:val="2"/>
            <w:shd w:val="clear" w:color="auto" w:fill="FF99CC"/>
          </w:tcPr>
          <w:p w14:paraId="557585E8" w14:textId="77777777" w:rsidR="00633C2A" w:rsidRPr="001C3BA9" w:rsidRDefault="00633C2A" w:rsidP="00633C2A">
            <w:pPr>
              <w:jc w:val="center"/>
              <w:rPr>
                <w:b/>
                <w:bCs/>
              </w:rPr>
            </w:pPr>
            <w:r w:rsidRPr="001C3BA9">
              <w:rPr>
                <w:b/>
                <w:bCs/>
              </w:rPr>
              <w:t>Meets Minimum</w:t>
            </w:r>
          </w:p>
          <w:p w14:paraId="189EE861" w14:textId="77777777" w:rsidR="00633C2A" w:rsidRPr="001C3BA9" w:rsidRDefault="00633C2A" w:rsidP="00633C2A">
            <w:pPr>
              <w:jc w:val="center"/>
              <w:rPr>
                <w:rFonts w:ascii="Forte" w:eastAsia="Brush Script MT" w:hAnsi="Forte" w:cs="Brush Script MT"/>
                <w:b/>
                <w:bCs/>
                <w:sz w:val="28"/>
                <w:szCs w:val="28"/>
              </w:rPr>
            </w:pPr>
            <w:r w:rsidRPr="001C3BA9">
              <w:rPr>
                <w:b/>
                <w:bCs/>
              </w:rPr>
              <w:t>Requirements</w:t>
            </w:r>
          </w:p>
        </w:tc>
        <w:tc>
          <w:tcPr>
            <w:tcW w:w="3117" w:type="dxa"/>
            <w:shd w:val="clear" w:color="auto" w:fill="FF99CC"/>
          </w:tcPr>
          <w:p w14:paraId="23459593" w14:textId="77777777" w:rsidR="00633C2A" w:rsidRPr="001C3BA9" w:rsidRDefault="00633C2A" w:rsidP="00633C2A">
            <w:pPr>
              <w:jc w:val="center"/>
              <w:rPr>
                <w:rFonts w:ascii="Forte" w:eastAsia="Brush Script MT" w:hAnsi="Forte" w:cs="Brush Script MT"/>
                <w:b/>
                <w:bCs/>
                <w:sz w:val="28"/>
                <w:szCs w:val="28"/>
              </w:rPr>
            </w:pPr>
            <w:r w:rsidRPr="001C3BA9">
              <w:rPr>
                <w:b/>
                <w:bCs/>
              </w:rPr>
              <w:t>Exceeds Minimum Requirements</w:t>
            </w:r>
          </w:p>
        </w:tc>
      </w:tr>
      <w:tr w:rsidR="00633C2A" w:rsidRPr="00095386" w14:paraId="17C2DD17" w14:textId="77777777" w:rsidTr="003018F0">
        <w:trPr>
          <w:trHeight w:val="4913"/>
        </w:trPr>
        <w:tc>
          <w:tcPr>
            <w:tcW w:w="3116" w:type="dxa"/>
            <w:shd w:val="clear" w:color="auto" w:fill="FFCCCC"/>
          </w:tcPr>
          <w:p w14:paraId="5DD0ECF5" w14:textId="39219338" w:rsidR="00633C2A" w:rsidRPr="003018F0" w:rsidRDefault="00633C2A" w:rsidP="31B8688D">
            <w:pPr>
              <w:rPr>
                <w:rStyle w:val="font-12"/>
                <w:rFonts w:asciiTheme="minorHAnsi" w:eastAsiaTheme="minorEastAsia" w:hAnsiTheme="minorHAnsi" w:cstheme="minorHAnsi"/>
                <w:sz w:val="22"/>
                <w:szCs w:val="22"/>
              </w:rPr>
            </w:pPr>
            <w:r w:rsidRPr="003018F0">
              <w:rPr>
                <w:rStyle w:val="font-12"/>
                <w:rFonts w:asciiTheme="minorHAnsi" w:eastAsiaTheme="minorEastAsia" w:hAnsiTheme="minorHAnsi" w:cstheme="minorHAnsi"/>
                <w:sz w:val="22"/>
                <w:szCs w:val="22"/>
              </w:rPr>
              <w:t xml:space="preserve">Meets </w:t>
            </w:r>
            <w:r w:rsidRPr="003018F0">
              <w:rPr>
                <w:rStyle w:val="font-12"/>
                <w:rFonts w:asciiTheme="minorHAnsi" w:eastAsiaTheme="minorEastAsia" w:hAnsiTheme="minorHAnsi" w:cstheme="minorHAnsi"/>
                <w:b/>
                <w:bCs/>
                <w:sz w:val="22"/>
                <w:szCs w:val="22"/>
              </w:rPr>
              <w:t>two</w:t>
            </w:r>
            <w:r w:rsidRPr="003018F0">
              <w:rPr>
                <w:rStyle w:val="font-12"/>
                <w:rFonts w:asciiTheme="minorHAnsi" w:eastAsiaTheme="minorEastAsia" w:hAnsiTheme="minorHAnsi" w:cstheme="minorHAnsi"/>
                <w:sz w:val="22"/>
                <w:szCs w:val="22"/>
              </w:rPr>
              <w:t xml:space="preserve"> of the following:</w:t>
            </w:r>
            <w:r w:rsidRPr="003018F0">
              <w:rPr>
                <w:rFonts w:asciiTheme="minorHAnsi" w:hAnsiTheme="minorHAnsi" w:cstheme="minorHAnsi"/>
              </w:rPr>
              <w:br/>
            </w:r>
          </w:p>
          <w:p w14:paraId="331F48CC" w14:textId="77777777" w:rsidR="00633C2A" w:rsidRPr="003018F0" w:rsidRDefault="00633C2A" w:rsidP="31B8688D">
            <w:pPr>
              <w:rPr>
                <w:rFonts w:asciiTheme="minorHAnsi" w:eastAsiaTheme="minorEastAsia" w:hAnsiTheme="minorHAnsi" w:cstheme="minorHAnsi"/>
                <w:lang w:val="en-AU"/>
              </w:rPr>
            </w:pPr>
            <w:r w:rsidRPr="003018F0">
              <w:rPr>
                <w:rFonts w:asciiTheme="minorHAnsi" w:eastAsiaTheme="minorEastAsia" w:hAnsiTheme="minorHAnsi" w:cstheme="minorHAnsi"/>
                <w:b/>
                <w:bCs/>
                <w:lang w:val="en-AU"/>
              </w:rPr>
              <w:t xml:space="preserve">a) </w:t>
            </w:r>
            <w:r w:rsidRPr="003018F0">
              <w:rPr>
                <w:rFonts w:asciiTheme="minorHAnsi" w:eastAsiaTheme="minorEastAsia" w:hAnsiTheme="minorHAnsi" w:cstheme="minorHAnsi"/>
                <w:lang w:val="en-AU"/>
              </w:rPr>
              <w:t>A coordination mechanism for gender equality is chaired by a HOA.</w:t>
            </w:r>
          </w:p>
          <w:p w14:paraId="52389320" w14:textId="77777777" w:rsidR="00633C2A" w:rsidRPr="003018F0" w:rsidRDefault="00633C2A" w:rsidP="31B8688D">
            <w:pPr>
              <w:rPr>
                <w:rFonts w:asciiTheme="minorHAnsi" w:eastAsiaTheme="minorEastAsia" w:hAnsiTheme="minorHAnsi" w:cstheme="minorHAnsi"/>
                <w:lang w:val="en-AU"/>
              </w:rPr>
            </w:pPr>
          </w:p>
          <w:p w14:paraId="5F71045F" w14:textId="77777777" w:rsidR="00633C2A" w:rsidRPr="003018F0" w:rsidRDefault="00633C2A" w:rsidP="31B8688D">
            <w:pPr>
              <w:rPr>
                <w:rFonts w:asciiTheme="minorHAnsi" w:eastAsiaTheme="minorEastAsia" w:hAnsiTheme="minorHAnsi" w:cstheme="minorHAnsi"/>
                <w:lang w:val="en-AU"/>
              </w:rPr>
            </w:pPr>
            <w:r w:rsidRPr="003018F0">
              <w:rPr>
                <w:rFonts w:asciiTheme="minorHAnsi" w:eastAsiaTheme="minorEastAsia" w:hAnsiTheme="minorHAnsi" w:cstheme="minorHAnsi"/>
                <w:b/>
                <w:bCs/>
                <w:lang w:val="en-AU"/>
              </w:rPr>
              <w:t>b)</w:t>
            </w:r>
            <w:r w:rsidRPr="003018F0">
              <w:rPr>
                <w:rFonts w:asciiTheme="minorHAnsi" w:eastAsiaTheme="minorEastAsia" w:hAnsiTheme="minorHAnsi" w:cstheme="minorHAnsi"/>
                <w:lang w:val="en-AU"/>
              </w:rPr>
              <w:t xml:space="preserve"> The group has a TOR and an approved annual work plan.</w:t>
            </w:r>
          </w:p>
          <w:p w14:paraId="0DC190DF" w14:textId="77777777" w:rsidR="00633C2A" w:rsidRPr="003018F0" w:rsidRDefault="00633C2A" w:rsidP="31B8688D">
            <w:pPr>
              <w:rPr>
                <w:rFonts w:asciiTheme="minorHAnsi" w:eastAsiaTheme="minorEastAsia" w:hAnsiTheme="minorHAnsi" w:cstheme="minorHAnsi"/>
                <w:lang w:val="en-AU"/>
              </w:rPr>
            </w:pPr>
          </w:p>
          <w:p w14:paraId="55DF851D" w14:textId="77777777" w:rsidR="00633C2A" w:rsidRPr="003018F0" w:rsidRDefault="00633C2A" w:rsidP="31B8688D">
            <w:pPr>
              <w:rPr>
                <w:rFonts w:asciiTheme="minorHAnsi" w:eastAsiaTheme="minorEastAsia" w:hAnsiTheme="minorHAnsi" w:cstheme="minorHAnsi"/>
                <w:lang w:val="en-AU"/>
              </w:rPr>
            </w:pPr>
            <w:r w:rsidRPr="003018F0">
              <w:rPr>
                <w:rFonts w:asciiTheme="minorHAnsi" w:eastAsiaTheme="minorEastAsia" w:hAnsiTheme="minorHAnsi" w:cstheme="minorHAnsi"/>
                <w:b/>
                <w:bCs/>
                <w:lang w:val="en-AU"/>
              </w:rPr>
              <w:t>c)</w:t>
            </w:r>
            <w:r w:rsidRPr="003018F0">
              <w:rPr>
                <w:rFonts w:asciiTheme="minorHAnsi" w:eastAsiaTheme="minorEastAsia" w:hAnsiTheme="minorHAnsi" w:cstheme="minorHAnsi"/>
                <w:lang w:val="en-AU"/>
              </w:rPr>
              <w:t xml:space="preserve"> Members include at least 50% senior staff (P4 and above; NOC and above).</w:t>
            </w:r>
          </w:p>
          <w:p w14:paraId="7B029C06" w14:textId="77777777" w:rsidR="00633C2A" w:rsidRPr="003018F0" w:rsidRDefault="00633C2A" w:rsidP="31B8688D">
            <w:pPr>
              <w:rPr>
                <w:rFonts w:asciiTheme="minorHAnsi" w:eastAsiaTheme="minorEastAsia" w:hAnsiTheme="minorHAnsi" w:cstheme="minorHAnsi"/>
                <w:lang w:val="en-AU"/>
              </w:rPr>
            </w:pPr>
          </w:p>
          <w:p w14:paraId="2E288100" w14:textId="77777777" w:rsidR="00633C2A" w:rsidRPr="003018F0" w:rsidRDefault="00633C2A" w:rsidP="31B8688D">
            <w:pPr>
              <w:rPr>
                <w:rFonts w:asciiTheme="minorHAnsi" w:eastAsiaTheme="minorEastAsia" w:hAnsiTheme="minorHAnsi" w:cstheme="minorHAnsi"/>
                <w:color w:val="000000" w:themeColor="text1"/>
              </w:rPr>
            </w:pPr>
            <w:r w:rsidRPr="003018F0">
              <w:rPr>
                <w:rFonts w:asciiTheme="minorHAnsi" w:eastAsiaTheme="minorEastAsia" w:hAnsiTheme="minorHAnsi" w:cstheme="minorHAnsi"/>
                <w:b/>
                <w:bCs/>
                <w:lang w:val="en-AU"/>
              </w:rPr>
              <w:t>d)</w:t>
            </w:r>
            <w:r w:rsidRPr="003018F0">
              <w:rPr>
                <w:rFonts w:asciiTheme="minorHAnsi" w:eastAsiaTheme="minorEastAsia" w:hAnsiTheme="minorHAnsi" w:cstheme="minorHAnsi"/>
                <w:lang w:val="en-AU"/>
              </w:rPr>
              <w:t xml:space="preserve"> The group has made substantive input into the Cooperation Framework including the country analysis, strategic prioritization, results </w:t>
            </w:r>
            <w:proofErr w:type="gramStart"/>
            <w:r w:rsidRPr="003018F0">
              <w:rPr>
                <w:rFonts w:asciiTheme="minorHAnsi" w:eastAsiaTheme="minorEastAsia" w:hAnsiTheme="minorHAnsi" w:cstheme="minorHAnsi"/>
                <w:lang w:val="en-AU"/>
              </w:rPr>
              <w:t>framework</w:t>
            </w:r>
            <w:proofErr w:type="gramEnd"/>
            <w:r w:rsidRPr="003018F0">
              <w:rPr>
                <w:rFonts w:asciiTheme="minorHAnsi" w:eastAsiaTheme="minorEastAsia" w:hAnsiTheme="minorHAnsi" w:cstheme="minorHAnsi"/>
                <w:lang w:val="en-AU"/>
              </w:rPr>
              <w:t xml:space="preserve"> and M&amp;E.</w:t>
            </w:r>
          </w:p>
        </w:tc>
        <w:tc>
          <w:tcPr>
            <w:tcW w:w="3117" w:type="dxa"/>
            <w:gridSpan w:val="2"/>
            <w:shd w:val="clear" w:color="auto" w:fill="FFCCCC"/>
          </w:tcPr>
          <w:p w14:paraId="62E9A95A" w14:textId="0B25830F" w:rsidR="00633C2A" w:rsidRPr="003018F0" w:rsidRDefault="00633C2A" w:rsidP="31B8688D">
            <w:pPr>
              <w:rPr>
                <w:rStyle w:val="font-12"/>
                <w:rFonts w:asciiTheme="minorHAnsi" w:eastAsiaTheme="minorEastAsia" w:hAnsiTheme="minorHAnsi" w:cstheme="minorHAnsi"/>
                <w:sz w:val="22"/>
                <w:szCs w:val="22"/>
              </w:rPr>
            </w:pPr>
            <w:r w:rsidRPr="003018F0">
              <w:rPr>
                <w:rStyle w:val="font-12"/>
                <w:rFonts w:asciiTheme="minorHAnsi" w:eastAsiaTheme="minorEastAsia" w:hAnsiTheme="minorHAnsi" w:cstheme="minorHAnsi"/>
                <w:sz w:val="22"/>
                <w:szCs w:val="22"/>
              </w:rPr>
              <w:t xml:space="preserve">Meets </w:t>
            </w:r>
            <w:r w:rsidRPr="003018F0">
              <w:rPr>
                <w:rStyle w:val="font-12"/>
                <w:rFonts w:asciiTheme="minorHAnsi" w:eastAsiaTheme="minorEastAsia" w:hAnsiTheme="minorHAnsi" w:cstheme="minorHAnsi"/>
                <w:b/>
                <w:bCs/>
                <w:sz w:val="22"/>
                <w:szCs w:val="22"/>
              </w:rPr>
              <w:t>three</w:t>
            </w:r>
            <w:r w:rsidRPr="003018F0">
              <w:rPr>
                <w:rStyle w:val="font-12"/>
                <w:rFonts w:asciiTheme="minorHAnsi" w:eastAsiaTheme="minorEastAsia" w:hAnsiTheme="minorHAnsi" w:cstheme="minorHAnsi"/>
                <w:sz w:val="22"/>
                <w:szCs w:val="22"/>
              </w:rPr>
              <w:t xml:space="preserve"> of the following:</w:t>
            </w:r>
            <w:r w:rsidRPr="003018F0">
              <w:rPr>
                <w:rFonts w:asciiTheme="minorHAnsi" w:hAnsiTheme="minorHAnsi" w:cstheme="minorHAnsi"/>
              </w:rPr>
              <w:br/>
            </w:r>
          </w:p>
          <w:p w14:paraId="3912BF0F" w14:textId="77777777" w:rsidR="00633C2A" w:rsidRPr="003018F0" w:rsidRDefault="00633C2A" w:rsidP="31B8688D">
            <w:pPr>
              <w:rPr>
                <w:rFonts w:asciiTheme="minorHAnsi" w:eastAsiaTheme="minorEastAsia" w:hAnsiTheme="minorHAnsi" w:cstheme="minorHAnsi"/>
                <w:lang w:val="en-AU"/>
              </w:rPr>
            </w:pPr>
            <w:r w:rsidRPr="003018F0">
              <w:rPr>
                <w:rFonts w:asciiTheme="minorHAnsi" w:eastAsiaTheme="minorEastAsia" w:hAnsiTheme="minorHAnsi" w:cstheme="minorHAnsi"/>
                <w:b/>
                <w:bCs/>
                <w:lang w:val="en-AU"/>
              </w:rPr>
              <w:t xml:space="preserve">a) </w:t>
            </w:r>
            <w:r w:rsidRPr="003018F0">
              <w:rPr>
                <w:rFonts w:asciiTheme="minorHAnsi" w:eastAsiaTheme="minorEastAsia" w:hAnsiTheme="minorHAnsi" w:cstheme="minorHAnsi"/>
                <w:lang w:val="en-AU"/>
              </w:rPr>
              <w:t>A coordination mechanism for gender equality is chaired by a HOA.</w:t>
            </w:r>
          </w:p>
          <w:p w14:paraId="1F38625E" w14:textId="77777777" w:rsidR="00633C2A" w:rsidRPr="003018F0" w:rsidRDefault="00633C2A" w:rsidP="31B8688D">
            <w:pPr>
              <w:rPr>
                <w:rFonts w:asciiTheme="minorHAnsi" w:eastAsiaTheme="minorEastAsia" w:hAnsiTheme="minorHAnsi" w:cstheme="minorHAnsi"/>
                <w:lang w:val="en-AU"/>
              </w:rPr>
            </w:pPr>
          </w:p>
          <w:p w14:paraId="5122614D" w14:textId="77777777" w:rsidR="00633C2A" w:rsidRPr="003018F0" w:rsidRDefault="00633C2A" w:rsidP="31B8688D">
            <w:pPr>
              <w:rPr>
                <w:rFonts w:asciiTheme="minorHAnsi" w:eastAsiaTheme="minorEastAsia" w:hAnsiTheme="minorHAnsi" w:cstheme="minorHAnsi"/>
                <w:lang w:val="en-AU"/>
              </w:rPr>
            </w:pPr>
            <w:r w:rsidRPr="003018F0">
              <w:rPr>
                <w:rFonts w:asciiTheme="minorHAnsi" w:eastAsiaTheme="minorEastAsia" w:hAnsiTheme="minorHAnsi" w:cstheme="minorHAnsi"/>
                <w:b/>
                <w:bCs/>
                <w:lang w:val="en-AU"/>
              </w:rPr>
              <w:t>b)</w:t>
            </w:r>
            <w:r w:rsidRPr="003018F0">
              <w:rPr>
                <w:rFonts w:asciiTheme="minorHAnsi" w:eastAsiaTheme="minorEastAsia" w:hAnsiTheme="minorHAnsi" w:cstheme="minorHAnsi"/>
                <w:lang w:val="en-AU"/>
              </w:rPr>
              <w:t xml:space="preserve"> The group has a TOR and an approved annual work plan.</w:t>
            </w:r>
          </w:p>
          <w:p w14:paraId="2EFBA6CF" w14:textId="77777777" w:rsidR="00633C2A" w:rsidRPr="003018F0" w:rsidRDefault="00633C2A" w:rsidP="31B8688D">
            <w:pPr>
              <w:rPr>
                <w:rFonts w:asciiTheme="minorHAnsi" w:eastAsiaTheme="minorEastAsia" w:hAnsiTheme="minorHAnsi" w:cstheme="minorHAnsi"/>
                <w:lang w:val="en-AU"/>
              </w:rPr>
            </w:pPr>
          </w:p>
          <w:p w14:paraId="073B12E4" w14:textId="77777777" w:rsidR="00633C2A" w:rsidRPr="003018F0" w:rsidRDefault="00633C2A" w:rsidP="31B8688D">
            <w:pPr>
              <w:rPr>
                <w:rFonts w:asciiTheme="minorHAnsi" w:eastAsiaTheme="minorEastAsia" w:hAnsiTheme="minorHAnsi" w:cstheme="minorHAnsi"/>
                <w:lang w:val="en-AU"/>
              </w:rPr>
            </w:pPr>
            <w:r w:rsidRPr="003018F0">
              <w:rPr>
                <w:rFonts w:asciiTheme="minorHAnsi" w:eastAsiaTheme="minorEastAsia" w:hAnsiTheme="minorHAnsi" w:cstheme="minorHAnsi"/>
                <w:b/>
                <w:bCs/>
                <w:lang w:val="en-AU"/>
              </w:rPr>
              <w:t>c)</w:t>
            </w:r>
            <w:r w:rsidRPr="003018F0">
              <w:rPr>
                <w:rFonts w:asciiTheme="minorHAnsi" w:eastAsiaTheme="minorEastAsia" w:hAnsiTheme="minorHAnsi" w:cstheme="minorHAnsi"/>
                <w:lang w:val="en-AU"/>
              </w:rPr>
              <w:t xml:space="preserve"> Members include at least 50% senior staff (P4 and above; NOC and above).</w:t>
            </w:r>
          </w:p>
          <w:p w14:paraId="00507772" w14:textId="77777777" w:rsidR="00633C2A" w:rsidRPr="003018F0" w:rsidRDefault="00633C2A" w:rsidP="31B8688D">
            <w:pPr>
              <w:rPr>
                <w:rFonts w:asciiTheme="minorHAnsi" w:eastAsiaTheme="minorEastAsia" w:hAnsiTheme="minorHAnsi" w:cstheme="minorHAnsi"/>
                <w:lang w:val="en-AU"/>
              </w:rPr>
            </w:pPr>
          </w:p>
          <w:p w14:paraId="2A02EFE3" w14:textId="77777777" w:rsidR="00633C2A" w:rsidRPr="003018F0" w:rsidRDefault="00633C2A" w:rsidP="31B8688D">
            <w:pPr>
              <w:contextualSpacing/>
              <w:rPr>
                <w:rFonts w:asciiTheme="minorHAnsi" w:eastAsiaTheme="minorEastAsia" w:hAnsiTheme="minorHAnsi" w:cstheme="minorHAnsi"/>
                <w:color w:val="000000" w:themeColor="text1"/>
              </w:rPr>
            </w:pPr>
            <w:r w:rsidRPr="003018F0">
              <w:rPr>
                <w:rFonts w:asciiTheme="minorHAnsi" w:eastAsiaTheme="minorEastAsia" w:hAnsiTheme="minorHAnsi" w:cstheme="minorHAnsi"/>
                <w:b/>
                <w:bCs/>
                <w:lang w:val="en-AU"/>
              </w:rPr>
              <w:t>d)</w:t>
            </w:r>
            <w:r w:rsidRPr="003018F0">
              <w:rPr>
                <w:rFonts w:asciiTheme="minorHAnsi" w:eastAsiaTheme="minorEastAsia" w:hAnsiTheme="minorHAnsi" w:cstheme="minorHAnsi"/>
                <w:lang w:val="en-AU"/>
              </w:rPr>
              <w:t xml:space="preserve"> The group has made substantive input into the Cooperation Framework including the country analysis, strategic prioritization, results </w:t>
            </w:r>
            <w:proofErr w:type="gramStart"/>
            <w:r w:rsidRPr="003018F0">
              <w:rPr>
                <w:rFonts w:asciiTheme="minorHAnsi" w:eastAsiaTheme="minorEastAsia" w:hAnsiTheme="minorHAnsi" w:cstheme="minorHAnsi"/>
                <w:lang w:val="en-AU"/>
              </w:rPr>
              <w:t>framework</w:t>
            </w:r>
            <w:proofErr w:type="gramEnd"/>
            <w:r w:rsidRPr="003018F0">
              <w:rPr>
                <w:rFonts w:asciiTheme="minorHAnsi" w:eastAsiaTheme="minorEastAsia" w:hAnsiTheme="minorHAnsi" w:cstheme="minorHAnsi"/>
                <w:lang w:val="en-AU"/>
              </w:rPr>
              <w:t xml:space="preserve"> and M&amp;E.</w:t>
            </w:r>
          </w:p>
        </w:tc>
        <w:tc>
          <w:tcPr>
            <w:tcW w:w="3117" w:type="dxa"/>
            <w:shd w:val="clear" w:color="auto" w:fill="FFCCCC"/>
          </w:tcPr>
          <w:p w14:paraId="4DB99608" w14:textId="58198ABB" w:rsidR="00633C2A" w:rsidRPr="003018F0" w:rsidRDefault="00633C2A" w:rsidP="31B8688D">
            <w:pPr>
              <w:rPr>
                <w:rStyle w:val="font-12"/>
                <w:rFonts w:asciiTheme="minorHAnsi" w:eastAsiaTheme="minorEastAsia" w:hAnsiTheme="minorHAnsi" w:cstheme="minorHAnsi"/>
                <w:sz w:val="22"/>
                <w:szCs w:val="22"/>
              </w:rPr>
            </w:pPr>
            <w:r w:rsidRPr="003018F0">
              <w:rPr>
                <w:rStyle w:val="font-12"/>
                <w:rFonts w:asciiTheme="minorHAnsi" w:eastAsiaTheme="minorEastAsia" w:hAnsiTheme="minorHAnsi" w:cstheme="minorHAnsi"/>
                <w:sz w:val="22"/>
                <w:szCs w:val="22"/>
              </w:rPr>
              <w:t xml:space="preserve">Meets </w:t>
            </w:r>
            <w:r w:rsidRPr="003018F0">
              <w:rPr>
                <w:rStyle w:val="font-12"/>
                <w:rFonts w:asciiTheme="minorHAnsi" w:eastAsiaTheme="minorEastAsia" w:hAnsiTheme="minorHAnsi" w:cstheme="minorHAnsi"/>
                <w:b/>
                <w:bCs/>
                <w:sz w:val="22"/>
                <w:szCs w:val="22"/>
              </w:rPr>
              <w:t xml:space="preserve">all four </w:t>
            </w:r>
            <w:r w:rsidRPr="003018F0">
              <w:rPr>
                <w:rStyle w:val="font-12"/>
                <w:rFonts w:asciiTheme="minorHAnsi" w:eastAsiaTheme="minorEastAsia" w:hAnsiTheme="minorHAnsi" w:cstheme="minorHAnsi"/>
                <w:sz w:val="22"/>
                <w:szCs w:val="22"/>
              </w:rPr>
              <w:t>of the following:</w:t>
            </w:r>
            <w:r w:rsidRPr="003018F0">
              <w:rPr>
                <w:rFonts w:asciiTheme="minorHAnsi" w:hAnsiTheme="minorHAnsi" w:cstheme="minorHAnsi"/>
              </w:rPr>
              <w:br/>
            </w:r>
          </w:p>
          <w:p w14:paraId="63BD8C77" w14:textId="77777777" w:rsidR="00633C2A" w:rsidRPr="003018F0" w:rsidRDefault="00633C2A" w:rsidP="31B8688D">
            <w:pPr>
              <w:rPr>
                <w:rFonts w:asciiTheme="minorHAnsi" w:eastAsiaTheme="minorEastAsia" w:hAnsiTheme="minorHAnsi" w:cstheme="minorHAnsi"/>
                <w:lang w:val="en-AU"/>
              </w:rPr>
            </w:pPr>
            <w:r w:rsidRPr="003018F0">
              <w:rPr>
                <w:rFonts w:asciiTheme="minorHAnsi" w:eastAsiaTheme="minorEastAsia" w:hAnsiTheme="minorHAnsi" w:cstheme="minorHAnsi"/>
                <w:b/>
                <w:bCs/>
                <w:lang w:val="en-AU"/>
              </w:rPr>
              <w:t xml:space="preserve">a) </w:t>
            </w:r>
            <w:r w:rsidRPr="003018F0">
              <w:rPr>
                <w:rFonts w:asciiTheme="minorHAnsi" w:eastAsiaTheme="minorEastAsia" w:hAnsiTheme="minorHAnsi" w:cstheme="minorHAnsi"/>
                <w:lang w:val="en-AU"/>
              </w:rPr>
              <w:t>A coordination mechanism for gender equality is chaired by a HOA.</w:t>
            </w:r>
          </w:p>
          <w:p w14:paraId="79C2B015" w14:textId="77777777" w:rsidR="00633C2A" w:rsidRPr="003018F0" w:rsidRDefault="00633C2A" w:rsidP="31B8688D">
            <w:pPr>
              <w:rPr>
                <w:rFonts w:asciiTheme="minorHAnsi" w:eastAsiaTheme="minorEastAsia" w:hAnsiTheme="minorHAnsi" w:cstheme="minorHAnsi"/>
                <w:lang w:val="en-AU"/>
              </w:rPr>
            </w:pPr>
          </w:p>
          <w:p w14:paraId="3CEA0353" w14:textId="77777777" w:rsidR="00633C2A" w:rsidRPr="003018F0" w:rsidRDefault="00633C2A" w:rsidP="31B8688D">
            <w:pPr>
              <w:rPr>
                <w:rFonts w:asciiTheme="minorHAnsi" w:eastAsiaTheme="minorEastAsia" w:hAnsiTheme="minorHAnsi" w:cstheme="minorHAnsi"/>
                <w:lang w:val="en-AU"/>
              </w:rPr>
            </w:pPr>
            <w:r w:rsidRPr="003018F0">
              <w:rPr>
                <w:rFonts w:asciiTheme="minorHAnsi" w:eastAsiaTheme="minorEastAsia" w:hAnsiTheme="minorHAnsi" w:cstheme="minorHAnsi"/>
                <w:b/>
                <w:bCs/>
                <w:lang w:val="en-AU"/>
              </w:rPr>
              <w:t>b)</w:t>
            </w:r>
            <w:r w:rsidRPr="003018F0">
              <w:rPr>
                <w:rFonts w:asciiTheme="minorHAnsi" w:eastAsiaTheme="minorEastAsia" w:hAnsiTheme="minorHAnsi" w:cstheme="minorHAnsi"/>
                <w:lang w:val="en-AU"/>
              </w:rPr>
              <w:t xml:space="preserve"> The group has a TOR and an approved annual work plan.</w:t>
            </w:r>
          </w:p>
          <w:p w14:paraId="788E5DFE" w14:textId="77777777" w:rsidR="00633C2A" w:rsidRPr="003018F0" w:rsidRDefault="00633C2A" w:rsidP="31B8688D">
            <w:pPr>
              <w:rPr>
                <w:rFonts w:asciiTheme="minorHAnsi" w:eastAsiaTheme="minorEastAsia" w:hAnsiTheme="minorHAnsi" w:cstheme="minorHAnsi"/>
                <w:lang w:val="en-AU"/>
              </w:rPr>
            </w:pPr>
          </w:p>
          <w:p w14:paraId="08B8C71F" w14:textId="77777777" w:rsidR="00633C2A" w:rsidRPr="003018F0" w:rsidRDefault="00633C2A" w:rsidP="31B8688D">
            <w:pPr>
              <w:rPr>
                <w:rFonts w:asciiTheme="minorHAnsi" w:eastAsiaTheme="minorEastAsia" w:hAnsiTheme="minorHAnsi" w:cstheme="minorHAnsi"/>
                <w:lang w:val="en-AU"/>
              </w:rPr>
            </w:pPr>
            <w:r w:rsidRPr="003018F0">
              <w:rPr>
                <w:rFonts w:asciiTheme="minorHAnsi" w:eastAsiaTheme="minorEastAsia" w:hAnsiTheme="minorHAnsi" w:cstheme="minorHAnsi"/>
                <w:b/>
                <w:bCs/>
                <w:lang w:val="en-AU"/>
              </w:rPr>
              <w:t>c)</w:t>
            </w:r>
            <w:r w:rsidRPr="003018F0">
              <w:rPr>
                <w:rFonts w:asciiTheme="minorHAnsi" w:eastAsiaTheme="minorEastAsia" w:hAnsiTheme="minorHAnsi" w:cstheme="minorHAnsi"/>
                <w:lang w:val="en-AU"/>
              </w:rPr>
              <w:t xml:space="preserve"> Members include at least 50% senior staff (P4 and above; NOC and above).</w:t>
            </w:r>
          </w:p>
          <w:p w14:paraId="33BBAED4" w14:textId="77777777" w:rsidR="00633C2A" w:rsidRPr="003018F0" w:rsidRDefault="00633C2A" w:rsidP="31B8688D">
            <w:pPr>
              <w:rPr>
                <w:rFonts w:asciiTheme="minorHAnsi" w:eastAsiaTheme="minorEastAsia" w:hAnsiTheme="minorHAnsi" w:cstheme="minorHAnsi"/>
                <w:lang w:val="en-AU"/>
              </w:rPr>
            </w:pPr>
          </w:p>
          <w:p w14:paraId="422EC831" w14:textId="77777777" w:rsidR="00633C2A" w:rsidRPr="003018F0" w:rsidRDefault="00633C2A" w:rsidP="31B8688D">
            <w:pPr>
              <w:rPr>
                <w:rFonts w:asciiTheme="minorHAnsi" w:eastAsiaTheme="minorEastAsia" w:hAnsiTheme="minorHAnsi" w:cstheme="minorHAnsi"/>
                <w:color w:val="000000" w:themeColor="text1"/>
              </w:rPr>
            </w:pPr>
            <w:r w:rsidRPr="003018F0">
              <w:rPr>
                <w:rFonts w:asciiTheme="minorHAnsi" w:eastAsiaTheme="minorEastAsia" w:hAnsiTheme="minorHAnsi" w:cstheme="minorHAnsi"/>
                <w:b/>
                <w:bCs/>
                <w:lang w:val="en-AU"/>
              </w:rPr>
              <w:t>d)</w:t>
            </w:r>
            <w:r w:rsidRPr="003018F0">
              <w:rPr>
                <w:rFonts w:asciiTheme="minorHAnsi" w:eastAsiaTheme="minorEastAsia" w:hAnsiTheme="minorHAnsi" w:cstheme="minorHAnsi"/>
                <w:lang w:val="en-AU"/>
              </w:rPr>
              <w:t xml:space="preserve"> The group has made substantive input into the Cooperation Framework including the country analysis, strategic prioritization, results </w:t>
            </w:r>
            <w:proofErr w:type="gramStart"/>
            <w:r w:rsidRPr="003018F0">
              <w:rPr>
                <w:rFonts w:asciiTheme="minorHAnsi" w:eastAsiaTheme="minorEastAsia" w:hAnsiTheme="minorHAnsi" w:cstheme="minorHAnsi"/>
                <w:lang w:val="en-AU"/>
              </w:rPr>
              <w:t>framework</w:t>
            </w:r>
            <w:proofErr w:type="gramEnd"/>
            <w:r w:rsidRPr="003018F0">
              <w:rPr>
                <w:rFonts w:asciiTheme="minorHAnsi" w:eastAsiaTheme="minorEastAsia" w:hAnsiTheme="minorHAnsi" w:cstheme="minorHAnsi"/>
                <w:lang w:val="en-AU"/>
              </w:rPr>
              <w:t xml:space="preserve"> and M&amp;E.</w:t>
            </w:r>
          </w:p>
        </w:tc>
      </w:tr>
    </w:tbl>
    <w:p w14:paraId="0FF45E33" w14:textId="77777777" w:rsidR="00AA0727" w:rsidRDefault="00AA0727"/>
    <w:p w14:paraId="33C34564" w14:textId="77777777" w:rsidR="00AA0727" w:rsidRDefault="00AA0727"/>
    <w:p w14:paraId="6549DE53" w14:textId="77777777" w:rsidR="00AA0727" w:rsidRDefault="00AA0727"/>
    <w:p w14:paraId="5DE2FD8D" w14:textId="77777777" w:rsidR="00AA0727" w:rsidRDefault="00AA0727"/>
    <w:p w14:paraId="45F667C8" w14:textId="77777777" w:rsidR="004905D7" w:rsidRDefault="004905D7" w:rsidP="001F1408">
      <w:pPr>
        <w:pBdr>
          <w:top w:val="nil"/>
          <w:left w:val="nil"/>
          <w:bottom w:val="nil"/>
          <w:right w:val="nil"/>
          <w:between w:val="nil"/>
        </w:pBdr>
        <w:tabs>
          <w:tab w:val="left" w:pos="6231"/>
        </w:tabs>
        <w:spacing w:after="0" w:line="240" w:lineRule="auto"/>
        <w:ind w:right="288"/>
        <w:jc w:val="center"/>
        <w:rPr>
          <w:b/>
          <w:color w:val="000000"/>
        </w:rPr>
      </w:pPr>
    </w:p>
    <w:p w14:paraId="073F1898" w14:textId="77777777" w:rsidR="004905D7" w:rsidRDefault="004905D7" w:rsidP="001F1408">
      <w:pPr>
        <w:pBdr>
          <w:top w:val="nil"/>
          <w:left w:val="nil"/>
          <w:bottom w:val="nil"/>
          <w:right w:val="nil"/>
          <w:between w:val="nil"/>
        </w:pBdr>
        <w:tabs>
          <w:tab w:val="left" w:pos="6231"/>
        </w:tabs>
        <w:spacing w:after="0" w:line="240" w:lineRule="auto"/>
        <w:ind w:right="288"/>
        <w:jc w:val="center"/>
        <w:rPr>
          <w:b/>
          <w:color w:val="000000"/>
        </w:rPr>
      </w:pPr>
    </w:p>
    <w:p w14:paraId="6B4B6719" w14:textId="77777777" w:rsidR="004905D7" w:rsidRDefault="004905D7" w:rsidP="001F1408">
      <w:pPr>
        <w:pBdr>
          <w:top w:val="nil"/>
          <w:left w:val="nil"/>
          <w:bottom w:val="nil"/>
          <w:right w:val="nil"/>
          <w:between w:val="nil"/>
        </w:pBdr>
        <w:tabs>
          <w:tab w:val="left" w:pos="6231"/>
        </w:tabs>
        <w:spacing w:after="0" w:line="240" w:lineRule="auto"/>
        <w:ind w:right="288"/>
        <w:jc w:val="center"/>
        <w:rPr>
          <w:b/>
          <w:color w:val="000000"/>
        </w:rPr>
      </w:pPr>
    </w:p>
    <w:p w14:paraId="2B36CD57" w14:textId="77777777" w:rsidR="004905D7" w:rsidRDefault="004905D7" w:rsidP="001F1408">
      <w:pPr>
        <w:pBdr>
          <w:top w:val="nil"/>
          <w:left w:val="nil"/>
          <w:bottom w:val="nil"/>
          <w:right w:val="nil"/>
          <w:between w:val="nil"/>
        </w:pBdr>
        <w:tabs>
          <w:tab w:val="left" w:pos="6231"/>
        </w:tabs>
        <w:spacing w:after="0" w:line="240" w:lineRule="auto"/>
        <w:ind w:right="288"/>
        <w:jc w:val="center"/>
        <w:rPr>
          <w:b/>
          <w:color w:val="000000"/>
        </w:rPr>
      </w:pPr>
    </w:p>
    <w:p w14:paraId="1E2A9A88" w14:textId="77777777" w:rsidR="004905D7" w:rsidRDefault="004905D7" w:rsidP="001F1408">
      <w:pPr>
        <w:pBdr>
          <w:top w:val="nil"/>
          <w:left w:val="nil"/>
          <w:bottom w:val="nil"/>
          <w:right w:val="nil"/>
          <w:between w:val="nil"/>
        </w:pBdr>
        <w:tabs>
          <w:tab w:val="left" w:pos="6231"/>
        </w:tabs>
        <w:spacing w:after="0" w:line="240" w:lineRule="auto"/>
        <w:ind w:right="288"/>
        <w:jc w:val="center"/>
        <w:rPr>
          <w:b/>
          <w:color w:val="000000"/>
        </w:rPr>
      </w:pPr>
    </w:p>
    <w:p w14:paraId="6CA56BDA" w14:textId="77777777" w:rsidR="004905D7" w:rsidRDefault="004905D7" w:rsidP="001F1408">
      <w:pPr>
        <w:pBdr>
          <w:top w:val="nil"/>
          <w:left w:val="nil"/>
          <w:bottom w:val="nil"/>
          <w:right w:val="nil"/>
          <w:between w:val="nil"/>
        </w:pBdr>
        <w:tabs>
          <w:tab w:val="left" w:pos="6231"/>
        </w:tabs>
        <w:spacing w:after="0" w:line="240" w:lineRule="auto"/>
        <w:ind w:right="288"/>
        <w:jc w:val="center"/>
        <w:rPr>
          <w:b/>
          <w:color w:val="000000"/>
        </w:rPr>
      </w:pPr>
    </w:p>
    <w:p w14:paraId="0237DC5C" w14:textId="77777777" w:rsidR="004905D7" w:rsidRDefault="004905D7" w:rsidP="001F1408">
      <w:pPr>
        <w:pBdr>
          <w:top w:val="nil"/>
          <w:left w:val="nil"/>
          <w:bottom w:val="nil"/>
          <w:right w:val="nil"/>
          <w:between w:val="nil"/>
        </w:pBdr>
        <w:tabs>
          <w:tab w:val="left" w:pos="6231"/>
        </w:tabs>
        <w:spacing w:after="0" w:line="240" w:lineRule="auto"/>
        <w:ind w:right="288"/>
        <w:jc w:val="center"/>
        <w:rPr>
          <w:b/>
          <w:color w:val="000000"/>
        </w:rPr>
      </w:pPr>
    </w:p>
    <w:p w14:paraId="03AE9804" w14:textId="77777777" w:rsidR="004905D7" w:rsidRDefault="004905D7" w:rsidP="001F1408">
      <w:pPr>
        <w:pBdr>
          <w:top w:val="nil"/>
          <w:left w:val="nil"/>
          <w:bottom w:val="nil"/>
          <w:right w:val="nil"/>
          <w:between w:val="nil"/>
        </w:pBdr>
        <w:tabs>
          <w:tab w:val="left" w:pos="6231"/>
        </w:tabs>
        <w:spacing w:after="0" w:line="240" w:lineRule="auto"/>
        <w:ind w:right="288"/>
        <w:jc w:val="center"/>
        <w:rPr>
          <w:b/>
          <w:color w:val="000000"/>
        </w:rPr>
      </w:pPr>
    </w:p>
    <w:p w14:paraId="188987EE" w14:textId="77777777" w:rsidR="004905D7" w:rsidRDefault="004905D7" w:rsidP="001F1408">
      <w:pPr>
        <w:pBdr>
          <w:top w:val="nil"/>
          <w:left w:val="nil"/>
          <w:bottom w:val="nil"/>
          <w:right w:val="nil"/>
          <w:between w:val="nil"/>
        </w:pBdr>
        <w:tabs>
          <w:tab w:val="left" w:pos="6231"/>
        </w:tabs>
        <w:spacing w:after="0" w:line="240" w:lineRule="auto"/>
        <w:ind w:right="288"/>
        <w:jc w:val="center"/>
        <w:rPr>
          <w:b/>
          <w:color w:val="000000"/>
        </w:rPr>
      </w:pPr>
    </w:p>
    <w:p w14:paraId="338C1EF1" w14:textId="77777777" w:rsidR="004905D7" w:rsidRDefault="004905D7" w:rsidP="001F1408">
      <w:pPr>
        <w:pBdr>
          <w:top w:val="nil"/>
          <w:left w:val="nil"/>
          <w:bottom w:val="nil"/>
          <w:right w:val="nil"/>
          <w:between w:val="nil"/>
        </w:pBdr>
        <w:tabs>
          <w:tab w:val="left" w:pos="6231"/>
        </w:tabs>
        <w:spacing w:after="0" w:line="240" w:lineRule="auto"/>
        <w:ind w:right="288"/>
        <w:jc w:val="center"/>
        <w:rPr>
          <w:b/>
          <w:color w:val="000000"/>
        </w:rPr>
      </w:pPr>
    </w:p>
    <w:p w14:paraId="0AFBB68F" w14:textId="77777777" w:rsidR="004905D7" w:rsidRDefault="004905D7" w:rsidP="001F1408">
      <w:pPr>
        <w:pBdr>
          <w:top w:val="nil"/>
          <w:left w:val="nil"/>
          <w:bottom w:val="nil"/>
          <w:right w:val="nil"/>
          <w:between w:val="nil"/>
        </w:pBdr>
        <w:tabs>
          <w:tab w:val="left" w:pos="6231"/>
        </w:tabs>
        <w:spacing w:after="0" w:line="240" w:lineRule="auto"/>
        <w:ind w:right="288"/>
        <w:jc w:val="center"/>
        <w:rPr>
          <w:b/>
          <w:color w:val="000000"/>
        </w:rPr>
      </w:pPr>
    </w:p>
    <w:p w14:paraId="06FCC5EF" w14:textId="77777777" w:rsidR="00AA0727" w:rsidRDefault="00AA0727" w:rsidP="00633C2A">
      <w:pPr>
        <w:pBdr>
          <w:top w:val="nil"/>
          <w:left w:val="nil"/>
          <w:bottom w:val="nil"/>
          <w:right w:val="nil"/>
          <w:between w:val="nil"/>
        </w:pBdr>
        <w:tabs>
          <w:tab w:val="left" w:pos="6231"/>
        </w:tabs>
        <w:spacing w:after="0" w:line="240" w:lineRule="auto"/>
        <w:ind w:right="288"/>
        <w:rPr>
          <w:b/>
          <w:color w:val="000000"/>
        </w:rPr>
        <w:sectPr w:rsidR="00AA0727" w:rsidSect="00633C2A">
          <w:headerReference w:type="default" r:id="rId11"/>
          <w:pgSz w:w="11906" w:h="16838" w:orient="landscape"/>
          <w:pgMar w:top="1440" w:right="0" w:bottom="720" w:left="1440" w:header="720" w:footer="720" w:gutter="0"/>
          <w:pgNumType w:start="1"/>
          <w:cols w:space="720"/>
          <w:titlePg/>
          <w:docGrid w:linePitch="299"/>
        </w:sectPr>
      </w:pPr>
    </w:p>
    <w:p w14:paraId="71D75EC8" w14:textId="77777777" w:rsidR="004905D7" w:rsidRDefault="004905D7" w:rsidP="00AA0727">
      <w:pPr>
        <w:pBdr>
          <w:top w:val="nil"/>
          <w:left w:val="nil"/>
          <w:bottom w:val="nil"/>
          <w:right w:val="nil"/>
          <w:between w:val="nil"/>
        </w:pBdr>
        <w:tabs>
          <w:tab w:val="left" w:pos="6231"/>
        </w:tabs>
        <w:spacing w:after="0" w:line="240" w:lineRule="auto"/>
        <w:ind w:right="288"/>
        <w:rPr>
          <w:b/>
          <w:color w:val="000000"/>
        </w:rPr>
      </w:pPr>
    </w:p>
    <w:p w14:paraId="26CC66E1" w14:textId="2C527175" w:rsidR="00A2128F" w:rsidRDefault="00AB12FC" w:rsidP="001F1408">
      <w:pPr>
        <w:pBdr>
          <w:top w:val="nil"/>
          <w:left w:val="nil"/>
          <w:bottom w:val="nil"/>
          <w:right w:val="nil"/>
          <w:between w:val="nil"/>
        </w:pBdr>
        <w:tabs>
          <w:tab w:val="left" w:pos="6231"/>
        </w:tabs>
        <w:spacing w:after="0" w:line="240" w:lineRule="auto"/>
        <w:ind w:right="288"/>
        <w:jc w:val="center"/>
        <w:rPr>
          <w:b/>
          <w:color w:val="000000"/>
        </w:rPr>
      </w:pPr>
      <w:r>
        <w:rPr>
          <w:b/>
          <w:color w:val="000000"/>
        </w:rPr>
        <w:t>United Nations Country Team Myanmar Gender Theme Group</w:t>
      </w:r>
    </w:p>
    <w:p w14:paraId="0A938103" w14:textId="77777777" w:rsidR="00A2128F" w:rsidRDefault="00AB12FC" w:rsidP="001F1408">
      <w:pPr>
        <w:pBdr>
          <w:top w:val="nil"/>
          <w:left w:val="nil"/>
          <w:bottom w:val="nil"/>
          <w:right w:val="nil"/>
          <w:between w:val="nil"/>
        </w:pBdr>
        <w:spacing w:after="0" w:line="240" w:lineRule="auto"/>
        <w:ind w:right="288"/>
        <w:jc w:val="center"/>
        <w:rPr>
          <w:b/>
          <w:color w:val="000000"/>
        </w:rPr>
      </w:pPr>
      <w:r>
        <w:rPr>
          <w:b/>
          <w:color w:val="000000"/>
        </w:rPr>
        <w:t>Annual Work Plan 2020</w:t>
      </w:r>
    </w:p>
    <w:p w14:paraId="57C8F734" w14:textId="77777777" w:rsidR="00A2128F" w:rsidRDefault="00A2128F" w:rsidP="001F1408">
      <w:pPr>
        <w:pBdr>
          <w:top w:val="nil"/>
          <w:left w:val="nil"/>
          <w:bottom w:val="nil"/>
          <w:right w:val="nil"/>
          <w:between w:val="nil"/>
        </w:pBdr>
        <w:spacing w:after="0" w:line="240" w:lineRule="auto"/>
        <w:ind w:right="288"/>
        <w:jc w:val="center"/>
        <w:rPr>
          <w:b/>
        </w:rPr>
      </w:pPr>
    </w:p>
    <w:tbl>
      <w:tblPr>
        <w:tblStyle w:val="a"/>
        <w:tblW w:w="8265" w:type="dxa"/>
        <w:tblBorders>
          <w:top w:val="nil"/>
          <w:left w:val="nil"/>
          <w:bottom w:val="nil"/>
          <w:right w:val="nil"/>
          <w:insideH w:val="nil"/>
          <w:insideV w:val="nil"/>
        </w:tblBorders>
        <w:tblLayout w:type="fixed"/>
        <w:tblLook w:val="0600" w:firstRow="0" w:lastRow="0" w:firstColumn="0" w:lastColumn="0" w:noHBand="1" w:noVBand="1"/>
      </w:tblPr>
      <w:tblGrid>
        <w:gridCol w:w="2715"/>
        <w:gridCol w:w="2775"/>
        <w:gridCol w:w="2775"/>
      </w:tblGrid>
      <w:tr w:rsidR="00A2128F" w14:paraId="38D4BF31" w14:textId="77777777" w:rsidTr="00633C2A">
        <w:trPr>
          <w:trHeight w:val="492"/>
        </w:trPr>
        <w:tc>
          <w:tcPr>
            <w:tcW w:w="2715" w:type="dxa"/>
            <w:tcBorders>
              <w:top w:val="single" w:sz="8" w:space="0" w:color="000000"/>
              <w:left w:val="single" w:sz="8" w:space="0" w:color="000000"/>
              <w:bottom w:val="single" w:sz="8" w:space="0" w:color="000000"/>
              <w:right w:val="single" w:sz="8" w:space="0" w:color="000000"/>
            </w:tcBorders>
            <w:shd w:val="clear" w:color="auto" w:fill="FFFF00"/>
            <w:tcMar>
              <w:top w:w="100" w:type="dxa"/>
              <w:left w:w="100" w:type="dxa"/>
              <w:bottom w:w="100" w:type="dxa"/>
              <w:right w:w="100" w:type="dxa"/>
            </w:tcMar>
          </w:tcPr>
          <w:p w14:paraId="53C058AF" w14:textId="77777777" w:rsidR="00A2128F" w:rsidRPr="001F1408" w:rsidRDefault="00AB12FC">
            <w:pPr>
              <w:spacing w:before="240" w:after="0" w:line="276" w:lineRule="auto"/>
              <w:ind w:left="140" w:right="140"/>
              <w:jc w:val="both"/>
              <w:rPr>
                <w:b/>
                <w:sz w:val="28"/>
                <w:szCs w:val="28"/>
              </w:rPr>
            </w:pPr>
            <w:r w:rsidRPr="001F1408">
              <w:rPr>
                <w:b/>
                <w:sz w:val="28"/>
                <w:szCs w:val="28"/>
              </w:rPr>
              <w:t>Postponed</w:t>
            </w:r>
          </w:p>
        </w:tc>
        <w:tc>
          <w:tcPr>
            <w:tcW w:w="2775" w:type="dxa"/>
            <w:tcBorders>
              <w:top w:val="single" w:sz="8" w:space="0" w:color="000000"/>
              <w:left w:val="nil"/>
              <w:bottom w:val="single" w:sz="8" w:space="0" w:color="000000"/>
              <w:right w:val="single" w:sz="8" w:space="0" w:color="000000"/>
            </w:tcBorders>
            <w:shd w:val="clear" w:color="auto" w:fill="92D050"/>
            <w:tcMar>
              <w:top w:w="100" w:type="dxa"/>
              <w:left w:w="100" w:type="dxa"/>
              <w:bottom w:w="100" w:type="dxa"/>
              <w:right w:w="100" w:type="dxa"/>
            </w:tcMar>
          </w:tcPr>
          <w:p w14:paraId="151726C4" w14:textId="77777777" w:rsidR="00A2128F" w:rsidRPr="001F1408" w:rsidRDefault="00AB12FC">
            <w:pPr>
              <w:spacing w:before="240" w:after="0" w:line="276" w:lineRule="auto"/>
              <w:ind w:left="140" w:right="140"/>
              <w:jc w:val="both"/>
              <w:rPr>
                <w:b/>
                <w:sz w:val="28"/>
                <w:szCs w:val="28"/>
              </w:rPr>
            </w:pPr>
            <w:r w:rsidRPr="001F1408">
              <w:rPr>
                <w:b/>
                <w:sz w:val="28"/>
                <w:szCs w:val="28"/>
              </w:rPr>
              <w:t>Completed</w:t>
            </w:r>
          </w:p>
        </w:tc>
        <w:tc>
          <w:tcPr>
            <w:tcW w:w="2775" w:type="dxa"/>
            <w:tcBorders>
              <w:top w:val="single" w:sz="8" w:space="0" w:color="000000"/>
              <w:left w:val="nil"/>
              <w:bottom w:val="single" w:sz="8" w:space="0" w:color="000000"/>
              <w:right w:val="single" w:sz="8" w:space="0" w:color="000000"/>
            </w:tcBorders>
            <w:shd w:val="clear" w:color="auto" w:fill="00B0F0"/>
            <w:tcMar>
              <w:top w:w="100" w:type="dxa"/>
              <w:left w:w="100" w:type="dxa"/>
              <w:bottom w:w="100" w:type="dxa"/>
              <w:right w:w="100" w:type="dxa"/>
            </w:tcMar>
          </w:tcPr>
          <w:p w14:paraId="3436E3FA" w14:textId="77777777" w:rsidR="00A2128F" w:rsidRPr="001F1408" w:rsidRDefault="00AB12FC">
            <w:pPr>
              <w:spacing w:before="240" w:after="0" w:line="276" w:lineRule="auto"/>
              <w:ind w:left="140" w:right="140"/>
              <w:jc w:val="both"/>
              <w:rPr>
                <w:b/>
                <w:sz w:val="28"/>
                <w:szCs w:val="28"/>
                <w:highlight w:val="cyan"/>
              </w:rPr>
            </w:pPr>
            <w:r w:rsidRPr="001F1408">
              <w:rPr>
                <w:b/>
                <w:sz w:val="28"/>
                <w:szCs w:val="28"/>
              </w:rPr>
              <w:t>On track</w:t>
            </w:r>
          </w:p>
        </w:tc>
      </w:tr>
    </w:tbl>
    <w:p w14:paraId="54B79EAE" w14:textId="77777777" w:rsidR="00A2128F" w:rsidRDefault="00AB12FC">
      <w:r>
        <w:rPr>
          <w:b/>
        </w:rPr>
        <w:t>Overall Objective:</w:t>
      </w:r>
      <w:r>
        <w:t xml:space="preserve"> To provide coherent and coordinated support to UNCT on gender mainstreaming, advancing gender equality and empowerment of women for implementation of Myanmar UNDAF 2018-2022 in support of the 2030 Agenda for Sustainable Development  </w:t>
      </w:r>
    </w:p>
    <w:tbl>
      <w:tblPr>
        <w:tblStyle w:val="a0"/>
        <w:tblW w:w="5000" w:type="pct"/>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ayout w:type="fixed"/>
        <w:tblLook w:val="0400" w:firstRow="0" w:lastRow="0" w:firstColumn="0" w:lastColumn="0" w:noHBand="0" w:noVBand="1"/>
      </w:tblPr>
      <w:tblGrid>
        <w:gridCol w:w="781"/>
        <w:gridCol w:w="1710"/>
        <w:gridCol w:w="2248"/>
        <w:gridCol w:w="2611"/>
        <w:gridCol w:w="988"/>
        <w:gridCol w:w="991"/>
        <w:gridCol w:w="1082"/>
        <w:gridCol w:w="1079"/>
        <w:gridCol w:w="3128"/>
      </w:tblGrid>
      <w:tr w:rsidR="004F787E" w14:paraId="33221034" w14:textId="36347466" w:rsidTr="004C1FB1">
        <w:trPr>
          <w:trHeight w:val="550"/>
        </w:trPr>
        <w:tc>
          <w:tcPr>
            <w:tcW w:w="267" w:type="pct"/>
            <w:shd w:val="clear" w:color="auto" w:fill="F7CBAC"/>
          </w:tcPr>
          <w:p w14:paraId="234F57EC" w14:textId="77777777" w:rsidR="001F1408" w:rsidRDefault="001F1408">
            <w:pPr>
              <w:jc w:val="center"/>
              <w:rPr>
                <w:b/>
              </w:rPr>
            </w:pPr>
            <w:r>
              <w:rPr>
                <w:b/>
              </w:rPr>
              <w:t>Focus Areas</w:t>
            </w:r>
          </w:p>
        </w:tc>
        <w:tc>
          <w:tcPr>
            <w:tcW w:w="585" w:type="pct"/>
            <w:shd w:val="clear" w:color="auto" w:fill="F7CBAC"/>
          </w:tcPr>
          <w:p w14:paraId="35ECC2FD" w14:textId="77777777" w:rsidR="001F1408" w:rsidRDefault="001F1408">
            <w:pPr>
              <w:jc w:val="center"/>
              <w:rPr>
                <w:b/>
              </w:rPr>
            </w:pPr>
            <w:r>
              <w:rPr>
                <w:b/>
              </w:rPr>
              <w:t>Result areas</w:t>
            </w:r>
          </w:p>
        </w:tc>
        <w:tc>
          <w:tcPr>
            <w:tcW w:w="769" w:type="pct"/>
            <w:shd w:val="clear" w:color="auto" w:fill="F7CBAC"/>
          </w:tcPr>
          <w:p w14:paraId="57013DF9" w14:textId="77777777" w:rsidR="001F1408" w:rsidRDefault="001F1408">
            <w:pPr>
              <w:jc w:val="center"/>
              <w:rPr>
                <w:b/>
              </w:rPr>
            </w:pPr>
            <w:r>
              <w:rPr>
                <w:b/>
              </w:rPr>
              <w:t>Indicators and Targets</w:t>
            </w:r>
          </w:p>
        </w:tc>
        <w:tc>
          <w:tcPr>
            <w:tcW w:w="893" w:type="pct"/>
            <w:shd w:val="clear" w:color="auto" w:fill="F7CBAC"/>
          </w:tcPr>
          <w:p w14:paraId="65B36008" w14:textId="77777777" w:rsidR="001F1408" w:rsidRDefault="001F1408">
            <w:pPr>
              <w:jc w:val="center"/>
              <w:rPr>
                <w:b/>
              </w:rPr>
            </w:pPr>
            <w:r>
              <w:rPr>
                <w:b/>
              </w:rPr>
              <w:t>Activities</w:t>
            </w:r>
          </w:p>
        </w:tc>
        <w:tc>
          <w:tcPr>
            <w:tcW w:w="338" w:type="pct"/>
            <w:shd w:val="clear" w:color="auto" w:fill="F7CBAC"/>
          </w:tcPr>
          <w:p w14:paraId="2D78064C" w14:textId="77777777" w:rsidR="001F1408" w:rsidRDefault="001F1408">
            <w:pPr>
              <w:jc w:val="center"/>
              <w:rPr>
                <w:b/>
              </w:rPr>
            </w:pPr>
            <w:r>
              <w:rPr>
                <w:b/>
              </w:rPr>
              <w:t>Time frame</w:t>
            </w:r>
          </w:p>
        </w:tc>
        <w:tc>
          <w:tcPr>
            <w:tcW w:w="339" w:type="pct"/>
            <w:shd w:val="clear" w:color="auto" w:fill="F7CBAC"/>
          </w:tcPr>
          <w:p w14:paraId="709660F5" w14:textId="77777777" w:rsidR="001F1408" w:rsidRDefault="001F1408">
            <w:pPr>
              <w:jc w:val="center"/>
              <w:rPr>
                <w:b/>
              </w:rPr>
            </w:pPr>
            <w:r>
              <w:rPr>
                <w:b/>
              </w:rPr>
              <w:t>Activity cost</w:t>
            </w:r>
          </w:p>
        </w:tc>
        <w:tc>
          <w:tcPr>
            <w:tcW w:w="370" w:type="pct"/>
            <w:shd w:val="clear" w:color="auto" w:fill="F7CBAC"/>
          </w:tcPr>
          <w:p w14:paraId="54127E8E" w14:textId="77777777" w:rsidR="001F1408" w:rsidRDefault="001F1408">
            <w:pPr>
              <w:jc w:val="center"/>
              <w:rPr>
                <w:b/>
              </w:rPr>
            </w:pPr>
            <w:r>
              <w:rPr>
                <w:b/>
              </w:rPr>
              <w:t>Responsible bodies</w:t>
            </w:r>
          </w:p>
        </w:tc>
        <w:tc>
          <w:tcPr>
            <w:tcW w:w="369" w:type="pct"/>
            <w:shd w:val="clear" w:color="auto" w:fill="F7CBAC"/>
          </w:tcPr>
          <w:p w14:paraId="648DE89F" w14:textId="77777777" w:rsidR="001F1408" w:rsidRDefault="001F1408">
            <w:pPr>
              <w:jc w:val="center"/>
              <w:rPr>
                <w:b/>
              </w:rPr>
            </w:pPr>
            <w:r>
              <w:rPr>
                <w:b/>
              </w:rPr>
              <w:t>Lead Agencies</w:t>
            </w:r>
          </w:p>
        </w:tc>
        <w:tc>
          <w:tcPr>
            <w:tcW w:w="1070" w:type="pct"/>
            <w:shd w:val="clear" w:color="auto" w:fill="F7CBAC"/>
          </w:tcPr>
          <w:p w14:paraId="1562343D" w14:textId="72934975" w:rsidR="001F1408" w:rsidRDefault="001F1408">
            <w:pPr>
              <w:jc w:val="center"/>
              <w:rPr>
                <w:b/>
              </w:rPr>
            </w:pPr>
            <w:r>
              <w:rPr>
                <w:b/>
              </w:rPr>
              <w:t>Mid-Term Review</w:t>
            </w:r>
          </w:p>
        </w:tc>
      </w:tr>
      <w:tr w:rsidR="004F787E" w14:paraId="508287D8" w14:textId="737AD110" w:rsidTr="004C1FB1">
        <w:trPr>
          <w:trHeight w:val="1153"/>
        </w:trPr>
        <w:tc>
          <w:tcPr>
            <w:tcW w:w="267" w:type="pct"/>
            <w:vMerge w:val="restart"/>
            <w:shd w:val="clear" w:color="auto" w:fill="D9E2F3"/>
            <w:textDirection w:val="btLr"/>
            <w:vAlign w:val="center"/>
          </w:tcPr>
          <w:p w14:paraId="3CD458B5" w14:textId="77777777" w:rsidR="001F1408" w:rsidRDefault="001F1408" w:rsidP="001F1408">
            <w:pPr>
              <w:ind w:left="113" w:right="288"/>
              <w:jc w:val="center"/>
              <w:rPr>
                <w:b/>
                <w:sz w:val="28"/>
                <w:szCs w:val="28"/>
              </w:rPr>
            </w:pPr>
            <w:r>
              <w:rPr>
                <w:b/>
                <w:sz w:val="28"/>
                <w:szCs w:val="28"/>
              </w:rPr>
              <w:t>UNCT SWAP Gender Equality Score Card</w:t>
            </w:r>
          </w:p>
        </w:tc>
        <w:tc>
          <w:tcPr>
            <w:tcW w:w="585" w:type="pct"/>
            <w:vMerge w:val="restart"/>
            <w:shd w:val="clear" w:color="auto" w:fill="D9E2F3"/>
          </w:tcPr>
          <w:p w14:paraId="395BEBF9" w14:textId="77777777" w:rsidR="001F1408" w:rsidRDefault="001F1408">
            <w:pPr>
              <w:rPr>
                <w:b/>
                <w:color w:val="000000"/>
              </w:rPr>
            </w:pPr>
            <w:r>
              <w:rPr>
                <w:b/>
                <w:color w:val="000000"/>
              </w:rPr>
              <w:t>1.</w:t>
            </w:r>
            <w:r>
              <w:t xml:space="preserve"> </w:t>
            </w:r>
            <w:r>
              <w:rPr>
                <w:b/>
                <w:color w:val="000000"/>
              </w:rPr>
              <w:t>The UNCT has strengthened capacities and mechanisms to coordinate and mainstream GEWE commitments</w:t>
            </w:r>
          </w:p>
        </w:tc>
        <w:tc>
          <w:tcPr>
            <w:tcW w:w="769" w:type="pct"/>
            <w:vMerge w:val="restart"/>
            <w:shd w:val="clear" w:color="auto" w:fill="D9E2F3"/>
          </w:tcPr>
          <w:p w14:paraId="16788F98" w14:textId="77777777" w:rsidR="001F1408" w:rsidRPr="00C1529D" w:rsidRDefault="001F1408">
            <w:r w:rsidRPr="00C1529D">
              <w:t xml:space="preserve">1.1 The GTG related actions in the UNCT SWAP Gender Equality Scorecard Action Plan are implemented to strengthen UNCT’s coordinated work and accountability towards </w:t>
            </w:r>
            <w:proofErr w:type="gramStart"/>
            <w:r w:rsidRPr="00C1529D">
              <w:t>GEWE</w:t>
            </w:r>
            <w:proofErr w:type="gramEnd"/>
          </w:p>
          <w:p w14:paraId="2A296F6B" w14:textId="77777777" w:rsidR="001F1408" w:rsidRPr="00C1529D" w:rsidRDefault="001F1408"/>
          <w:p w14:paraId="12A4345D" w14:textId="77777777" w:rsidR="001F1408" w:rsidRPr="00C1529D" w:rsidRDefault="001F1408">
            <w:r w:rsidRPr="00C1529D">
              <w:rPr>
                <w:b/>
              </w:rPr>
              <w:t>Target:</w:t>
            </w:r>
            <w:r w:rsidRPr="00C1529D">
              <w:t xml:space="preserve"> 6 Actions in 2020</w:t>
            </w:r>
          </w:p>
          <w:p w14:paraId="40799B1E" w14:textId="77777777" w:rsidR="001F1408" w:rsidRPr="00C1529D" w:rsidRDefault="001F1408">
            <w:r w:rsidRPr="00C1529D">
              <w:rPr>
                <w:b/>
              </w:rPr>
              <w:t>Baseline:</w:t>
            </w:r>
            <w:r w:rsidRPr="00C1529D">
              <w:t xml:space="preserve"> No</w:t>
            </w:r>
          </w:p>
          <w:p w14:paraId="1440A4BE" w14:textId="77777777" w:rsidR="001F1408" w:rsidRPr="00C1529D" w:rsidRDefault="001F1408">
            <w:r w:rsidRPr="00C1529D">
              <w:rPr>
                <w:b/>
              </w:rPr>
              <w:t>Source:</w:t>
            </w:r>
            <w:r w:rsidRPr="00C1529D">
              <w:t xml:space="preserve"> GTG meeting minutes, SWAP GES annual report</w:t>
            </w:r>
          </w:p>
          <w:p w14:paraId="0EFCD482" w14:textId="77777777" w:rsidR="001F1408" w:rsidRPr="00C1529D" w:rsidRDefault="001F1408"/>
          <w:p w14:paraId="14713DA5" w14:textId="77777777" w:rsidR="001F1408" w:rsidRPr="00C1529D" w:rsidRDefault="001F1408"/>
          <w:p w14:paraId="5756A22E" w14:textId="77777777" w:rsidR="001F1408" w:rsidRPr="00C1529D" w:rsidRDefault="001F1408"/>
          <w:p w14:paraId="3198A43D" w14:textId="77777777" w:rsidR="001F1408" w:rsidRPr="00C1529D" w:rsidRDefault="001F1408"/>
          <w:p w14:paraId="47E196B8" w14:textId="77777777" w:rsidR="001F1408" w:rsidRPr="00C1529D" w:rsidRDefault="001F1408"/>
          <w:p w14:paraId="345FF386" w14:textId="77777777" w:rsidR="001F1408" w:rsidRPr="00C1529D" w:rsidRDefault="001F1408"/>
          <w:p w14:paraId="600E3DFC" w14:textId="77777777" w:rsidR="001F1408" w:rsidRPr="00C1529D" w:rsidRDefault="001F1408"/>
          <w:p w14:paraId="1D6CD260" w14:textId="77777777" w:rsidR="001F1408" w:rsidRPr="00C1529D" w:rsidRDefault="001F1408"/>
          <w:p w14:paraId="72CF80F1" w14:textId="77777777" w:rsidR="001F1408" w:rsidRPr="00C1529D" w:rsidRDefault="001F1408"/>
          <w:p w14:paraId="1D92961D" w14:textId="77777777" w:rsidR="001F1408" w:rsidRPr="00C1529D" w:rsidRDefault="001F1408"/>
          <w:p w14:paraId="1B95940E" w14:textId="77777777" w:rsidR="001F1408" w:rsidRPr="00C1529D" w:rsidRDefault="001F1408"/>
          <w:p w14:paraId="545D956E" w14:textId="77777777" w:rsidR="001F1408" w:rsidRPr="00C1529D" w:rsidRDefault="001F1408"/>
          <w:p w14:paraId="253A8D95" w14:textId="77777777" w:rsidR="001F1408" w:rsidRPr="00C1529D" w:rsidRDefault="001F1408"/>
          <w:p w14:paraId="525640D4" w14:textId="77777777" w:rsidR="001F1408" w:rsidRPr="00C1529D" w:rsidRDefault="001F1408"/>
        </w:tc>
        <w:tc>
          <w:tcPr>
            <w:tcW w:w="893" w:type="pct"/>
            <w:shd w:val="clear" w:color="auto" w:fill="00B0F0"/>
          </w:tcPr>
          <w:p w14:paraId="5201EB97" w14:textId="3218D812" w:rsidR="001F1408" w:rsidRPr="00C1529D" w:rsidRDefault="001F1408">
            <w:pPr>
              <w:keepNext/>
              <w:keepLines/>
              <w:jc w:val="both"/>
              <w:rPr>
                <w:color w:val="000000"/>
              </w:rPr>
            </w:pPr>
            <w:r w:rsidRPr="00C1529D">
              <w:rPr>
                <w:color w:val="000000"/>
              </w:rPr>
              <w:lastRenderedPageBreak/>
              <w:t xml:space="preserve">1.1.1 Ensure substantial gender sectoral analysis conducted as the part of the annual CCA update and the UNSDCF development </w:t>
            </w:r>
          </w:p>
        </w:tc>
        <w:tc>
          <w:tcPr>
            <w:tcW w:w="338" w:type="pct"/>
            <w:shd w:val="clear" w:color="auto" w:fill="00B0F0"/>
          </w:tcPr>
          <w:p w14:paraId="2EB7F33F" w14:textId="77777777" w:rsidR="001F1408" w:rsidRPr="00C1529D" w:rsidRDefault="001F1408">
            <w:r w:rsidRPr="00C1529D">
              <w:t>Q2-Q4 2020</w:t>
            </w:r>
          </w:p>
        </w:tc>
        <w:tc>
          <w:tcPr>
            <w:tcW w:w="339" w:type="pct"/>
            <w:shd w:val="clear" w:color="auto" w:fill="00B0F0"/>
          </w:tcPr>
          <w:p w14:paraId="61FB873C" w14:textId="77777777" w:rsidR="001F1408" w:rsidRPr="00C1529D" w:rsidRDefault="001F1408">
            <w:r w:rsidRPr="00C1529D">
              <w:t>Not required</w:t>
            </w:r>
          </w:p>
        </w:tc>
        <w:tc>
          <w:tcPr>
            <w:tcW w:w="370" w:type="pct"/>
            <w:shd w:val="clear" w:color="auto" w:fill="00B0F0"/>
          </w:tcPr>
          <w:p w14:paraId="097FF05A" w14:textId="77777777" w:rsidR="001F1408" w:rsidRPr="00C1529D" w:rsidRDefault="001F1408">
            <w:pPr>
              <w:rPr>
                <w:color w:val="000000"/>
              </w:rPr>
            </w:pPr>
            <w:r w:rsidRPr="00C1529D">
              <w:rPr>
                <w:color w:val="000000"/>
              </w:rPr>
              <w:t xml:space="preserve">GTG </w:t>
            </w:r>
          </w:p>
        </w:tc>
        <w:tc>
          <w:tcPr>
            <w:tcW w:w="369" w:type="pct"/>
            <w:shd w:val="clear" w:color="auto" w:fill="00B0F0"/>
          </w:tcPr>
          <w:p w14:paraId="0C346139" w14:textId="77777777" w:rsidR="001F1408" w:rsidRPr="00C1529D" w:rsidRDefault="001F1408">
            <w:pPr>
              <w:rPr>
                <w:color w:val="000000"/>
              </w:rPr>
            </w:pPr>
            <w:r w:rsidRPr="00C1529D">
              <w:rPr>
                <w:color w:val="000000"/>
              </w:rPr>
              <w:t>RCO</w:t>
            </w:r>
          </w:p>
        </w:tc>
        <w:tc>
          <w:tcPr>
            <w:tcW w:w="1070" w:type="pct"/>
            <w:shd w:val="clear" w:color="auto" w:fill="00B0F0"/>
          </w:tcPr>
          <w:p w14:paraId="49B348E6" w14:textId="05B0EB6B" w:rsidR="001F1408" w:rsidRPr="00C1529D" w:rsidRDefault="001F1408">
            <w:pPr>
              <w:rPr>
                <w:color w:val="000000"/>
              </w:rPr>
            </w:pPr>
            <w:r w:rsidRPr="00C1529D">
              <w:rPr>
                <w:color w:val="000000"/>
              </w:rPr>
              <w:t xml:space="preserve">RCO revived the preparation for the CCA process. GTG will </w:t>
            </w:r>
            <w:r w:rsidR="00C1529D" w:rsidRPr="00C1529D">
              <w:rPr>
                <w:color w:val="000000"/>
              </w:rPr>
              <w:t xml:space="preserve">consolidate </w:t>
            </w:r>
            <w:r w:rsidR="00C1529D" w:rsidRPr="00C1529D">
              <w:rPr>
                <w:rFonts w:asciiTheme="minorHAnsi" w:hAnsiTheme="minorHAnsi" w:cstheme="minorHAnsi"/>
              </w:rPr>
              <w:t xml:space="preserve">Roster of Gender Specialists in Myanmar </w:t>
            </w:r>
          </w:p>
        </w:tc>
      </w:tr>
      <w:tr w:rsidR="004F787E" w14:paraId="3E78166D" w14:textId="7E008395" w:rsidTr="004C1FB1">
        <w:trPr>
          <w:trHeight w:val="730"/>
        </w:trPr>
        <w:tc>
          <w:tcPr>
            <w:tcW w:w="267" w:type="pct"/>
            <w:vMerge/>
            <w:shd w:val="clear" w:color="auto" w:fill="D9E2F3"/>
            <w:vAlign w:val="center"/>
          </w:tcPr>
          <w:p w14:paraId="3AA255E4" w14:textId="77777777" w:rsidR="001F1408" w:rsidRDefault="001F1408">
            <w:pPr>
              <w:widowControl w:val="0"/>
              <w:pBdr>
                <w:top w:val="nil"/>
                <w:left w:val="nil"/>
                <w:bottom w:val="nil"/>
                <w:right w:val="nil"/>
                <w:between w:val="nil"/>
              </w:pBdr>
              <w:spacing w:line="276" w:lineRule="auto"/>
              <w:rPr>
                <w:color w:val="000000"/>
                <w:highlight w:val="yellow"/>
              </w:rPr>
            </w:pPr>
          </w:p>
        </w:tc>
        <w:tc>
          <w:tcPr>
            <w:tcW w:w="585" w:type="pct"/>
            <w:vMerge/>
            <w:shd w:val="clear" w:color="auto" w:fill="D9E2F3"/>
          </w:tcPr>
          <w:p w14:paraId="00C5DF4D" w14:textId="77777777" w:rsidR="001F1408" w:rsidRDefault="001F1408">
            <w:pPr>
              <w:widowControl w:val="0"/>
              <w:pBdr>
                <w:top w:val="nil"/>
                <w:left w:val="nil"/>
                <w:bottom w:val="nil"/>
                <w:right w:val="nil"/>
                <w:between w:val="nil"/>
              </w:pBdr>
              <w:spacing w:line="276" w:lineRule="auto"/>
              <w:rPr>
                <w:color w:val="000000"/>
                <w:highlight w:val="yellow"/>
              </w:rPr>
            </w:pPr>
          </w:p>
        </w:tc>
        <w:tc>
          <w:tcPr>
            <w:tcW w:w="769" w:type="pct"/>
            <w:vMerge/>
            <w:shd w:val="clear" w:color="auto" w:fill="D9E2F3"/>
          </w:tcPr>
          <w:p w14:paraId="42144DC9" w14:textId="77777777" w:rsidR="001F1408" w:rsidRPr="00C1529D" w:rsidRDefault="001F1408">
            <w:pPr>
              <w:widowControl w:val="0"/>
              <w:pBdr>
                <w:top w:val="nil"/>
                <w:left w:val="nil"/>
                <w:bottom w:val="nil"/>
                <w:right w:val="nil"/>
                <w:between w:val="nil"/>
              </w:pBdr>
              <w:spacing w:line="276" w:lineRule="auto"/>
              <w:rPr>
                <w:color w:val="000000"/>
              </w:rPr>
            </w:pPr>
          </w:p>
        </w:tc>
        <w:tc>
          <w:tcPr>
            <w:tcW w:w="893" w:type="pct"/>
            <w:shd w:val="clear" w:color="auto" w:fill="00B0F0"/>
          </w:tcPr>
          <w:p w14:paraId="1FF8F66F" w14:textId="77777777" w:rsidR="001F1408" w:rsidRPr="00C1529D" w:rsidRDefault="001F1408">
            <w:pPr>
              <w:keepNext/>
              <w:keepLines/>
              <w:jc w:val="both"/>
              <w:rPr>
                <w:color w:val="000000"/>
              </w:rPr>
            </w:pPr>
            <w:r w:rsidRPr="00C1529D">
              <w:t>1.1.2 Develop, and update annually, a mapping</w:t>
            </w:r>
            <w:r w:rsidRPr="00C1529D">
              <w:rPr>
                <w:b/>
              </w:rPr>
              <w:t xml:space="preserve"> </w:t>
            </w:r>
            <w:r w:rsidRPr="00C1529D">
              <w:t xml:space="preserve">of UN </w:t>
            </w:r>
            <w:proofErr w:type="spellStart"/>
            <w:r w:rsidRPr="00C1529D">
              <w:t>programmes</w:t>
            </w:r>
            <w:proofErr w:type="spellEnd"/>
            <w:r w:rsidRPr="00C1529D">
              <w:t xml:space="preserve"> addressing GEWE, including JPs and budget allocations</w:t>
            </w:r>
          </w:p>
        </w:tc>
        <w:tc>
          <w:tcPr>
            <w:tcW w:w="338" w:type="pct"/>
            <w:shd w:val="clear" w:color="auto" w:fill="00B0F0"/>
          </w:tcPr>
          <w:p w14:paraId="2D12BA2C" w14:textId="77777777" w:rsidR="001F1408" w:rsidRPr="00C1529D" w:rsidRDefault="001F1408">
            <w:pPr>
              <w:keepNext/>
              <w:keepLines/>
              <w:rPr>
                <w:color w:val="000000"/>
              </w:rPr>
            </w:pPr>
            <w:r w:rsidRPr="00C1529D">
              <w:rPr>
                <w:color w:val="000000"/>
              </w:rPr>
              <w:t>Q2 2020</w:t>
            </w:r>
          </w:p>
        </w:tc>
        <w:tc>
          <w:tcPr>
            <w:tcW w:w="339" w:type="pct"/>
            <w:shd w:val="clear" w:color="auto" w:fill="00B0F0"/>
          </w:tcPr>
          <w:p w14:paraId="427CE627" w14:textId="77777777" w:rsidR="001F1408" w:rsidRPr="00C1529D" w:rsidRDefault="001F1408">
            <w:r w:rsidRPr="00C1529D">
              <w:t>Not required</w:t>
            </w:r>
          </w:p>
        </w:tc>
        <w:tc>
          <w:tcPr>
            <w:tcW w:w="370" w:type="pct"/>
            <w:shd w:val="clear" w:color="auto" w:fill="00B0F0"/>
          </w:tcPr>
          <w:p w14:paraId="4C963A89" w14:textId="77777777" w:rsidR="001F1408" w:rsidRPr="00C1529D" w:rsidRDefault="001F1408">
            <w:pPr>
              <w:rPr>
                <w:color w:val="000000"/>
              </w:rPr>
            </w:pPr>
            <w:r w:rsidRPr="00C1529D">
              <w:rPr>
                <w:color w:val="000000"/>
              </w:rPr>
              <w:t xml:space="preserve">GTG </w:t>
            </w:r>
          </w:p>
        </w:tc>
        <w:tc>
          <w:tcPr>
            <w:tcW w:w="369" w:type="pct"/>
            <w:shd w:val="clear" w:color="auto" w:fill="00B0F0"/>
          </w:tcPr>
          <w:p w14:paraId="3A5087D7" w14:textId="77777777" w:rsidR="001F1408" w:rsidRPr="00C1529D" w:rsidRDefault="001F1408">
            <w:pPr>
              <w:rPr>
                <w:color w:val="000000"/>
              </w:rPr>
            </w:pPr>
            <w:r w:rsidRPr="00C1529D">
              <w:rPr>
                <w:color w:val="000000"/>
              </w:rPr>
              <w:t>RCO</w:t>
            </w:r>
          </w:p>
        </w:tc>
        <w:tc>
          <w:tcPr>
            <w:tcW w:w="1070" w:type="pct"/>
            <w:shd w:val="clear" w:color="auto" w:fill="00B0F0"/>
          </w:tcPr>
          <w:p w14:paraId="74C4D7C6" w14:textId="03FB57BB" w:rsidR="001F1408" w:rsidRPr="00C1529D" w:rsidRDefault="00C1529D">
            <w:pPr>
              <w:rPr>
                <w:color w:val="000000"/>
              </w:rPr>
            </w:pPr>
            <w:r w:rsidRPr="00C1529D">
              <w:rPr>
                <w:color w:val="000000"/>
              </w:rPr>
              <w:t>GTG will revive the mapping activity, to track the financial resources on GEWE for the upcoming UNSDCF</w:t>
            </w:r>
          </w:p>
        </w:tc>
      </w:tr>
      <w:tr w:rsidR="004F787E" w14:paraId="17BA6393" w14:textId="3E96AF74" w:rsidTr="004C1FB1">
        <w:trPr>
          <w:trHeight w:val="730"/>
        </w:trPr>
        <w:tc>
          <w:tcPr>
            <w:tcW w:w="267" w:type="pct"/>
            <w:vMerge/>
            <w:shd w:val="clear" w:color="auto" w:fill="D9E2F3"/>
            <w:vAlign w:val="center"/>
          </w:tcPr>
          <w:p w14:paraId="20012CD7" w14:textId="77777777" w:rsidR="001F1408" w:rsidRDefault="001F1408">
            <w:pPr>
              <w:widowControl w:val="0"/>
              <w:pBdr>
                <w:top w:val="nil"/>
                <w:left w:val="nil"/>
                <w:bottom w:val="nil"/>
                <w:right w:val="nil"/>
                <w:between w:val="nil"/>
              </w:pBdr>
              <w:spacing w:line="276" w:lineRule="auto"/>
              <w:rPr>
                <w:color w:val="000000"/>
                <w:highlight w:val="yellow"/>
              </w:rPr>
            </w:pPr>
          </w:p>
        </w:tc>
        <w:tc>
          <w:tcPr>
            <w:tcW w:w="585" w:type="pct"/>
            <w:vMerge/>
            <w:shd w:val="clear" w:color="auto" w:fill="D9E2F3"/>
          </w:tcPr>
          <w:p w14:paraId="6821F464" w14:textId="77777777" w:rsidR="001F1408" w:rsidRDefault="001F1408">
            <w:pPr>
              <w:widowControl w:val="0"/>
              <w:pBdr>
                <w:top w:val="nil"/>
                <w:left w:val="nil"/>
                <w:bottom w:val="nil"/>
                <w:right w:val="nil"/>
                <w:between w:val="nil"/>
              </w:pBdr>
              <w:spacing w:line="276" w:lineRule="auto"/>
              <w:rPr>
                <w:color w:val="000000"/>
                <w:highlight w:val="yellow"/>
              </w:rPr>
            </w:pPr>
          </w:p>
        </w:tc>
        <w:tc>
          <w:tcPr>
            <w:tcW w:w="769" w:type="pct"/>
            <w:vMerge/>
            <w:shd w:val="clear" w:color="auto" w:fill="D9E2F3"/>
          </w:tcPr>
          <w:p w14:paraId="79A99AAF" w14:textId="77777777" w:rsidR="001F1408" w:rsidRPr="00C1529D" w:rsidRDefault="001F1408">
            <w:pPr>
              <w:widowControl w:val="0"/>
              <w:pBdr>
                <w:top w:val="nil"/>
                <w:left w:val="nil"/>
                <w:bottom w:val="nil"/>
                <w:right w:val="nil"/>
                <w:between w:val="nil"/>
              </w:pBdr>
              <w:spacing w:line="276" w:lineRule="auto"/>
              <w:rPr>
                <w:color w:val="000000"/>
              </w:rPr>
            </w:pPr>
          </w:p>
        </w:tc>
        <w:tc>
          <w:tcPr>
            <w:tcW w:w="893" w:type="pct"/>
            <w:shd w:val="clear" w:color="auto" w:fill="00B050"/>
          </w:tcPr>
          <w:p w14:paraId="7AA01D2A" w14:textId="77777777" w:rsidR="001F1408" w:rsidRPr="00C1529D" w:rsidRDefault="001F1408">
            <w:pPr>
              <w:keepNext/>
              <w:keepLines/>
            </w:pPr>
            <w:r w:rsidRPr="00C1529D">
              <w:t>1.1.3 Carry out one capacity building workshop on gender marker(s) with GTG, PMT and RCO members</w:t>
            </w:r>
          </w:p>
        </w:tc>
        <w:tc>
          <w:tcPr>
            <w:tcW w:w="338" w:type="pct"/>
            <w:shd w:val="clear" w:color="auto" w:fill="00B050"/>
          </w:tcPr>
          <w:p w14:paraId="6B8BBC2E" w14:textId="77777777" w:rsidR="001F1408" w:rsidRPr="00C1529D" w:rsidRDefault="001F1408">
            <w:pPr>
              <w:keepNext/>
              <w:keepLines/>
              <w:rPr>
                <w:color w:val="000000"/>
              </w:rPr>
            </w:pPr>
            <w:r w:rsidRPr="00C1529D">
              <w:rPr>
                <w:color w:val="000000"/>
              </w:rPr>
              <w:t>Q2-Q4 2020</w:t>
            </w:r>
          </w:p>
        </w:tc>
        <w:tc>
          <w:tcPr>
            <w:tcW w:w="339" w:type="pct"/>
            <w:shd w:val="clear" w:color="auto" w:fill="00B050"/>
          </w:tcPr>
          <w:p w14:paraId="6ABF2E83" w14:textId="77777777" w:rsidR="001F1408" w:rsidRPr="00C1529D" w:rsidRDefault="001F1408">
            <w:r w:rsidRPr="00C1529D">
              <w:t>TBD</w:t>
            </w:r>
          </w:p>
        </w:tc>
        <w:tc>
          <w:tcPr>
            <w:tcW w:w="370" w:type="pct"/>
            <w:shd w:val="clear" w:color="auto" w:fill="00B050"/>
          </w:tcPr>
          <w:p w14:paraId="436856E5" w14:textId="77777777" w:rsidR="001F1408" w:rsidRPr="00C1529D" w:rsidRDefault="001F1408">
            <w:pPr>
              <w:rPr>
                <w:color w:val="000000"/>
              </w:rPr>
            </w:pPr>
            <w:r w:rsidRPr="00C1529D">
              <w:rPr>
                <w:color w:val="000000"/>
              </w:rPr>
              <w:t xml:space="preserve">RCO/GTG </w:t>
            </w:r>
          </w:p>
        </w:tc>
        <w:tc>
          <w:tcPr>
            <w:tcW w:w="369" w:type="pct"/>
            <w:shd w:val="clear" w:color="auto" w:fill="00B050"/>
          </w:tcPr>
          <w:p w14:paraId="14DA59F9" w14:textId="77777777" w:rsidR="001F1408" w:rsidRPr="00C1529D" w:rsidRDefault="001F1408">
            <w:pPr>
              <w:rPr>
                <w:color w:val="000000"/>
              </w:rPr>
            </w:pPr>
            <w:r w:rsidRPr="00C1529D">
              <w:rPr>
                <w:color w:val="000000"/>
              </w:rPr>
              <w:t>External resource person</w:t>
            </w:r>
          </w:p>
        </w:tc>
        <w:tc>
          <w:tcPr>
            <w:tcW w:w="1070" w:type="pct"/>
            <w:shd w:val="clear" w:color="auto" w:fill="00B050"/>
          </w:tcPr>
          <w:p w14:paraId="7375C992" w14:textId="77777777" w:rsidR="00C1529D" w:rsidRPr="00C1529D" w:rsidRDefault="00C1529D">
            <w:pPr>
              <w:rPr>
                <w:color w:val="000000"/>
              </w:rPr>
            </w:pPr>
            <w:r w:rsidRPr="00C1529D">
              <w:rPr>
                <w:color w:val="000000"/>
              </w:rPr>
              <w:t>Completed.</w:t>
            </w:r>
          </w:p>
          <w:p w14:paraId="35D5DDF7" w14:textId="7CE00841" w:rsidR="00C1529D" w:rsidRPr="00C1529D" w:rsidRDefault="00C1529D">
            <w:pPr>
              <w:rPr>
                <w:color w:val="000000"/>
              </w:rPr>
            </w:pPr>
            <w:r w:rsidRPr="00C1529D">
              <w:rPr>
                <w:color w:val="000000"/>
              </w:rPr>
              <w:t xml:space="preserve">The training material </w:t>
            </w:r>
            <w:hyperlink r:id="rId12" w:history="1">
              <w:r w:rsidRPr="00C1529D">
                <w:rPr>
                  <w:rStyle w:val="Hyperlink"/>
                </w:rPr>
                <w:t>here</w:t>
              </w:r>
            </w:hyperlink>
            <w:r w:rsidRPr="00C1529D">
              <w:rPr>
                <w:color w:val="000000"/>
              </w:rPr>
              <w:t xml:space="preserve"> </w:t>
            </w:r>
          </w:p>
        </w:tc>
      </w:tr>
      <w:tr w:rsidR="004F787E" w14:paraId="77A07EC5" w14:textId="68B12AFD" w:rsidTr="004C1FB1">
        <w:trPr>
          <w:trHeight w:val="517"/>
        </w:trPr>
        <w:tc>
          <w:tcPr>
            <w:tcW w:w="267" w:type="pct"/>
            <w:vMerge/>
            <w:shd w:val="clear" w:color="auto" w:fill="D9E2F3"/>
            <w:vAlign w:val="center"/>
          </w:tcPr>
          <w:p w14:paraId="648AC821" w14:textId="77777777" w:rsidR="001F1408" w:rsidRDefault="001F1408">
            <w:pPr>
              <w:widowControl w:val="0"/>
              <w:pBdr>
                <w:top w:val="nil"/>
                <w:left w:val="nil"/>
                <w:bottom w:val="nil"/>
                <w:right w:val="nil"/>
                <w:between w:val="nil"/>
              </w:pBdr>
              <w:spacing w:line="276" w:lineRule="auto"/>
              <w:rPr>
                <w:color w:val="000000"/>
                <w:highlight w:val="green"/>
              </w:rPr>
            </w:pPr>
          </w:p>
        </w:tc>
        <w:tc>
          <w:tcPr>
            <w:tcW w:w="585" w:type="pct"/>
            <w:vMerge/>
            <w:shd w:val="clear" w:color="auto" w:fill="D9E2F3"/>
          </w:tcPr>
          <w:p w14:paraId="3B2C9000" w14:textId="77777777" w:rsidR="001F1408" w:rsidRDefault="001F1408">
            <w:pPr>
              <w:widowControl w:val="0"/>
              <w:pBdr>
                <w:top w:val="nil"/>
                <w:left w:val="nil"/>
                <w:bottom w:val="nil"/>
                <w:right w:val="nil"/>
                <w:between w:val="nil"/>
              </w:pBdr>
              <w:spacing w:line="276" w:lineRule="auto"/>
              <w:rPr>
                <w:color w:val="000000"/>
                <w:highlight w:val="green"/>
              </w:rPr>
            </w:pPr>
          </w:p>
        </w:tc>
        <w:tc>
          <w:tcPr>
            <w:tcW w:w="769" w:type="pct"/>
            <w:vMerge/>
            <w:shd w:val="clear" w:color="auto" w:fill="D9E2F3"/>
          </w:tcPr>
          <w:p w14:paraId="379D2D10" w14:textId="77777777" w:rsidR="001F1408" w:rsidRPr="00C1529D" w:rsidRDefault="001F1408">
            <w:pPr>
              <w:widowControl w:val="0"/>
              <w:pBdr>
                <w:top w:val="nil"/>
                <w:left w:val="nil"/>
                <w:bottom w:val="nil"/>
                <w:right w:val="nil"/>
                <w:between w:val="nil"/>
              </w:pBdr>
              <w:spacing w:line="276" w:lineRule="auto"/>
              <w:rPr>
                <w:color w:val="000000"/>
              </w:rPr>
            </w:pPr>
          </w:p>
        </w:tc>
        <w:tc>
          <w:tcPr>
            <w:tcW w:w="893" w:type="pct"/>
            <w:shd w:val="clear" w:color="auto" w:fill="00B0F0"/>
          </w:tcPr>
          <w:p w14:paraId="23D68938" w14:textId="5C61639E" w:rsidR="001F1408" w:rsidRPr="00C1529D" w:rsidRDefault="001F1408">
            <w:pPr>
              <w:widowControl w:val="0"/>
              <w:pBdr>
                <w:top w:val="nil"/>
                <w:left w:val="nil"/>
                <w:bottom w:val="nil"/>
                <w:right w:val="nil"/>
                <w:between w:val="nil"/>
              </w:pBdr>
              <w:rPr>
                <w:color w:val="000000"/>
              </w:rPr>
            </w:pPr>
            <w:r w:rsidRPr="00C1529D">
              <w:rPr>
                <w:color w:val="000000"/>
              </w:rPr>
              <w:t xml:space="preserve">1.1.4 Provide at least one training on gender sensitive M&amp;E to the UN M&amp;E Group  </w:t>
            </w:r>
          </w:p>
        </w:tc>
        <w:tc>
          <w:tcPr>
            <w:tcW w:w="338" w:type="pct"/>
            <w:shd w:val="clear" w:color="auto" w:fill="00B0F0"/>
          </w:tcPr>
          <w:p w14:paraId="785AEAFA" w14:textId="77777777" w:rsidR="001F1408" w:rsidRPr="00C1529D" w:rsidRDefault="001F1408">
            <w:pPr>
              <w:rPr>
                <w:color w:val="000000"/>
              </w:rPr>
            </w:pPr>
            <w:r w:rsidRPr="00C1529D">
              <w:rPr>
                <w:color w:val="000000"/>
              </w:rPr>
              <w:t>Q2-Q4 2020</w:t>
            </w:r>
          </w:p>
        </w:tc>
        <w:tc>
          <w:tcPr>
            <w:tcW w:w="339" w:type="pct"/>
            <w:shd w:val="clear" w:color="auto" w:fill="00B0F0"/>
          </w:tcPr>
          <w:p w14:paraId="52F57D84" w14:textId="77777777" w:rsidR="001F1408" w:rsidRPr="00C1529D" w:rsidRDefault="001F1408">
            <w:r w:rsidRPr="00C1529D">
              <w:t>TBD</w:t>
            </w:r>
          </w:p>
        </w:tc>
        <w:tc>
          <w:tcPr>
            <w:tcW w:w="370" w:type="pct"/>
            <w:shd w:val="clear" w:color="auto" w:fill="00B0F0"/>
          </w:tcPr>
          <w:p w14:paraId="2EDD252B" w14:textId="77777777" w:rsidR="001F1408" w:rsidRPr="00C1529D" w:rsidRDefault="001F1408">
            <w:pPr>
              <w:rPr>
                <w:color w:val="000000"/>
              </w:rPr>
            </w:pPr>
            <w:r w:rsidRPr="00C1529D">
              <w:rPr>
                <w:color w:val="000000"/>
              </w:rPr>
              <w:t xml:space="preserve">GTG </w:t>
            </w:r>
          </w:p>
        </w:tc>
        <w:tc>
          <w:tcPr>
            <w:tcW w:w="369" w:type="pct"/>
            <w:shd w:val="clear" w:color="auto" w:fill="00B0F0"/>
          </w:tcPr>
          <w:p w14:paraId="74E7B1E4" w14:textId="77777777" w:rsidR="001F1408" w:rsidRPr="00C1529D" w:rsidRDefault="001F1408">
            <w:pPr>
              <w:rPr>
                <w:color w:val="000000"/>
              </w:rPr>
            </w:pPr>
            <w:r w:rsidRPr="00C1529D">
              <w:rPr>
                <w:color w:val="000000"/>
              </w:rPr>
              <w:t>External resource person</w:t>
            </w:r>
          </w:p>
        </w:tc>
        <w:tc>
          <w:tcPr>
            <w:tcW w:w="1070" w:type="pct"/>
            <w:shd w:val="clear" w:color="auto" w:fill="00B0F0"/>
          </w:tcPr>
          <w:p w14:paraId="6FCB1914" w14:textId="37E9F492" w:rsidR="001F1408" w:rsidRPr="00C1529D" w:rsidRDefault="00C1529D">
            <w:pPr>
              <w:rPr>
                <w:color w:val="000000"/>
              </w:rPr>
            </w:pPr>
            <w:r>
              <w:rPr>
                <w:color w:val="000000"/>
              </w:rPr>
              <w:t>UN Women will organize a zoom workshop with the M&amp;RWG of the UN SERF on the gender-responsive M&amp;E</w:t>
            </w:r>
          </w:p>
        </w:tc>
      </w:tr>
      <w:tr w:rsidR="004F787E" w14:paraId="5A68FD75" w14:textId="5D8E070E" w:rsidTr="004C1FB1">
        <w:trPr>
          <w:trHeight w:val="517"/>
        </w:trPr>
        <w:tc>
          <w:tcPr>
            <w:tcW w:w="267" w:type="pct"/>
            <w:vMerge/>
            <w:shd w:val="clear" w:color="auto" w:fill="D9E2F3"/>
            <w:vAlign w:val="center"/>
          </w:tcPr>
          <w:p w14:paraId="632C5103" w14:textId="77777777" w:rsidR="001F1408" w:rsidRDefault="001F1408">
            <w:pPr>
              <w:widowControl w:val="0"/>
              <w:pBdr>
                <w:top w:val="nil"/>
                <w:left w:val="nil"/>
                <w:bottom w:val="nil"/>
                <w:right w:val="nil"/>
                <w:between w:val="nil"/>
              </w:pBdr>
              <w:spacing w:line="276" w:lineRule="auto"/>
              <w:rPr>
                <w:color w:val="000000"/>
                <w:highlight w:val="green"/>
              </w:rPr>
            </w:pPr>
          </w:p>
        </w:tc>
        <w:tc>
          <w:tcPr>
            <w:tcW w:w="585" w:type="pct"/>
            <w:vMerge/>
            <w:shd w:val="clear" w:color="auto" w:fill="D9E2F3"/>
          </w:tcPr>
          <w:p w14:paraId="362CCD43" w14:textId="77777777" w:rsidR="001F1408" w:rsidRDefault="001F1408">
            <w:pPr>
              <w:widowControl w:val="0"/>
              <w:pBdr>
                <w:top w:val="nil"/>
                <w:left w:val="nil"/>
                <w:bottom w:val="nil"/>
                <w:right w:val="nil"/>
                <w:between w:val="nil"/>
              </w:pBdr>
              <w:spacing w:line="276" w:lineRule="auto"/>
              <w:rPr>
                <w:color w:val="000000"/>
                <w:highlight w:val="green"/>
              </w:rPr>
            </w:pPr>
          </w:p>
        </w:tc>
        <w:tc>
          <w:tcPr>
            <w:tcW w:w="769" w:type="pct"/>
            <w:vMerge/>
            <w:shd w:val="clear" w:color="auto" w:fill="D9E2F3"/>
          </w:tcPr>
          <w:p w14:paraId="6FCB4FC4" w14:textId="77777777" w:rsidR="001F1408" w:rsidRDefault="001F1408">
            <w:pPr>
              <w:widowControl w:val="0"/>
              <w:pBdr>
                <w:top w:val="nil"/>
                <w:left w:val="nil"/>
                <w:bottom w:val="nil"/>
                <w:right w:val="nil"/>
                <w:between w:val="nil"/>
              </w:pBdr>
              <w:spacing w:line="276" w:lineRule="auto"/>
              <w:rPr>
                <w:color w:val="000000"/>
                <w:highlight w:val="green"/>
              </w:rPr>
            </w:pPr>
          </w:p>
        </w:tc>
        <w:tc>
          <w:tcPr>
            <w:tcW w:w="893" w:type="pct"/>
            <w:shd w:val="clear" w:color="auto" w:fill="FFFF00"/>
          </w:tcPr>
          <w:p w14:paraId="65BFF688" w14:textId="77777777" w:rsidR="001F1408" w:rsidRPr="00C1529D" w:rsidRDefault="001F1408">
            <w:pPr>
              <w:keepNext/>
              <w:keepLines/>
              <w:jc w:val="both"/>
            </w:pPr>
            <w:r w:rsidRPr="00C1529D">
              <w:t xml:space="preserve">1.1.5 Conduct an annual/bi-annual 1 or 2-hour induction on gender issues in Myanmar including accountability on PSEA for new arrival senior positions (CPG, </w:t>
            </w:r>
            <w:proofErr w:type="gramStart"/>
            <w:r w:rsidRPr="00C1529D">
              <w:t>DPs</w:t>
            </w:r>
            <w:proofErr w:type="gramEnd"/>
            <w:r w:rsidRPr="00C1529D">
              <w:t xml:space="preserve"> and the UN)</w:t>
            </w:r>
          </w:p>
        </w:tc>
        <w:tc>
          <w:tcPr>
            <w:tcW w:w="338" w:type="pct"/>
            <w:shd w:val="clear" w:color="auto" w:fill="FFFF00"/>
          </w:tcPr>
          <w:p w14:paraId="1061A1A4" w14:textId="77777777" w:rsidR="001F1408" w:rsidRPr="00C1529D" w:rsidRDefault="001F1408">
            <w:pPr>
              <w:rPr>
                <w:color w:val="000000"/>
              </w:rPr>
            </w:pPr>
            <w:r w:rsidRPr="00C1529D">
              <w:rPr>
                <w:color w:val="000000"/>
              </w:rPr>
              <w:t>Q2-Q4 2020</w:t>
            </w:r>
          </w:p>
        </w:tc>
        <w:tc>
          <w:tcPr>
            <w:tcW w:w="339" w:type="pct"/>
            <w:shd w:val="clear" w:color="auto" w:fill="FFFF00"/>
          </w:tcPr>
          <w:p w14:paraId="0C82C914" w14:textId="77777777" w:rsidR="001F1408" w:rsidRPr="00C1529D" w:rsidRDefault="001F1408">
            <w:r w:rsidRPr="00C1529D">
              <w:t>Not required</w:t>
            </w:r>
          </w:p>
        </w:tc>
        <w:tc>
          <w:tcPr>
            <w:tcW w:w="370" w:type="pct"/>
            <w:shd w:val="clear" w:color="auto" w:fill="FFFF00"/>
          </w:tcPr>
          <w:p w14:paraId="1068B619" w14:textId="77777777" w:rsidR="001F1408" w:rsidRPr="00C1529D" w:rsidRDefault="001F1408">
            <w:pPr>
              <w:rPr>
                <w:color w:val="000000"/>
              </w:rPr>
            </w:pPr>
            <w:r w:rsidRPr="00C1529D">
              <w:rPr>
                <w:color w:val="000000"/>
              </w:rPr>
              <w:t xml:space="preserve">RCO/GTG </w:t>
            </w:r>
          </w:p>
        </w:tc>
        <w:tc>
          <w:tcPr>
            <w:tcW w:w="369" w:type="pct"/>
            <w:shd w:val="clear" w:color="auto" w:fill="FFFF00"/>
          </w:tcPr>
          <w:p w14:paraId="1C1E888B" w14:textId="77777777" w:rsidR="001F1408" w:rsidRPr="00C1529D" w:rsidRDefault="001F1408">
            <w:pPr>
              <w:rPr>
                <w:color w:val="000000"/>
              </w:rPr>
            </w:pPr>
            <w:r w:rsidRPr="00C1529D">
              <w:rPr>
                <w:color w:val="000000"/>
              </w:rPr>
              <w:t xml:space="preserve">GTG co-chairs </w:t>
            </w:r>
          </w:p>
        </w:tc>
        <w:tc>
          <w:tcPr>
            <w:tcW w:w="1070" w:type="pct"/>
            <w:shd w:val="clear" w:color="auto" w:fill="FFFF00"/>
          </w:tcPr>
          <w:p w14:paraId="2CB1886B" w14:textId="1BAABDB6" w:rsidR="001F1408" w:rsidRPr="00C1529D" w:rsidRDefault="00C1529D">
            <w:pPr>
              <w:rPr>
                <w:color w:val="000000"/>
              </w:rPr>
            </w:pPr>
            <w:r>
              <w:rPr>
                <w:color w:val="000000"/>
              </w:rPr>
              <w:t xml:space="preserve">GTG agreed to postpone the activity to the 2021. </w:t>
            </w:r>
          </w:p>
        </w:tc>
      </w:tr>
      <w:tr w:rsidR="004F787E" w14:paraId="13D61ED6" w14:textId="31CB2CAA" w:rsidTr="004C1FB1">
        <w:trPr>
          <w:trHeight w:val="517"/>
        </w:trPr>
        <w:tc>
          <w:tcPr>
            <w:tcW w:w="267" w:type="pct"/>
            <w:vMerge/>
            <w:shd w:val="clear" w:color="auto" w:fill="D9E2F3"/>
            <w:vAlign w:val="center"/>
          </w:tcPr>
          <w:p w14:paraId="08D05DDB" w14:textId="77777777" w:rsidR="001F1408" w:rsidRDefault="001F1408">
            <w:pPr>
              <w:widowControl w:val="0"/>
              <w:pBdr>
                <w:top w:val="nil"/>
                <w:left w:val="nil"/>
                <w:bottom w:val="nil"/>
                <w:right w:val="nil"/>
                <w:between w:val="nil"/>
              </w:pBdr>
              <w:spacing w:line="276" w:lineRule="auto"/>
              <w:rPr>
                <w:color w:val="000000"/>
                <w:highlight w:val="yellow"/>
              </w:rPr>
            </w:pPr>
          </w:p>
        </w:tc>
        <w:tc>
          <w:tcPr>
            <w:tcW w:w="585" w:type="pct"/>
            <w:vMerge/>
            <w:shd w:val="clear" w:color="auto" w:fill="D9E2F3"/>
          </w:tcPr>
          <w:p w14:paraId="3CAD40B3" w14:textId="77777777" w:rsidR="001F1408" w:rsidRDefault="001F1408">
            <w:pPr>
              <w:widowControl w:val="0"/>
              <w:pBdr>
                <w:top w:val="nil"/>
                <w:left w:val="nil"/>
                <w:bottom w:val="nil"/>
                <w:right w:val="nil"/>
                <w:between w:val="nil"/>
              </w:pBdr>
              <w:spacing w:line="276" w:lineRule="auto"/>
              <w:rPr>
                <w:color w:val="000000"/>
                <w:highlight w:val="yellow"/>
              </w:rPr>
            </w:pPr>
          </w:p>
        </w:tc>
        <w:tc>
          <w:tcPr>
            <w:tcW w:w="769" w:type="pct"/>
            <w:vMerge/>
            <w:shd w:val="clear" w:color="auto" w:fill="D9E2F3"/>
          </w:tcPr>
          <w:p w14:paraId="5D97D7F6" w14:textId="77777777" w:rsidR="001F1408" w:rsidRDefault="001F1408">
            <w:pPr>
              <w:widowControl w:val="0"/>
              <w:pBdr>
                <w:top w:val="nil"/>
                <w:left w:val="nil"/>
                <w:bottom w:val="nil"/>
                <w:right w:val="nil"/>
                <w:between w:val="nil"/>
              </w:pBdr>
              <w:spacing w:line="276" w:lineRule="auto"/>
              <w:rPr>
                <w:color w:val="000000"/>
                <w:highlight w:val="yellow"/>
              </w:rPr>
            </w:pPr>
          </w:p>
        </w:tc>
        <w:tc>
          <w:tcPr>
            <w:tcW w:w="893" w:type="pct"/>
            <w:shd w:val="clear" w:color="auto" w:fill="00B0F0"/>
          </w:tcPr>
          <w:p w14:paraId="2544D667" w14:textId="79E8AB86" w:rsidR="001F1408" w:rsidRPr="00C1529D" w:rsidRDefault="001F1408">
            <w:pPr>
              <w:keepNext/>
              <w:keepLines/>
              <w:jc w:val="both"/>
            </w:pPr>
            <w:r w:rsidRPr="00C1529D">
              <w:rPr>
                <w:color w:val="000000"/>
              </w:rPr>
              <w:t xml:space="preserve">1.1.6 </w:t>
            </w:r>
            <w:r w:rsidRPr="00C1529D">
              <w:t xml:space="preserve">Report to UNCT on GEWE issues, including UN sex disaggregated staff data, which allows UNCT address </w:t>
            </w:r>
            <w:r w:rsidR="00C1529D" w:rsidRPr="00C1529D">
              <w:t>meaningfully</w:t>
            </w:r>
            <w:r w:rsidRPr="00C1529D">
              <w:t xml:space="preserve"> gender </w:t>
            </w:r>
            <w:r w:rsidR="00C1529D" w:rsidRPr="00C1529D">
              <w:t>equality</w:t>
            </w:r>
            <w:r w:rsidRPr="00C1529D">
              <w:t xml:space="preserve"> at UNCT meetings </w:t>
            </w:r>
          </w:p>
        </w:tc>
        <w:tc>
          <w:tcPr>
            <w:tcW w:w="338" w:type="pct"/>
            <w:shd w:val="clear" w:color="auto" w:fill="00B0F0"/>
          </w:tcPr>
          <w:p w14:paraId="5CE205AF" w14:textId="77777777" w:rsidR="001F1408" w:rsidRPr="00C1529D" w:rsidRDefault="001F1408">
            <w:r w:rsidRPr="00C1529D">
              <w:t>Q1- Q4 2020</w:t>
            </w:r>
          </w:p>
        </w:tc>
        <w:tc>
          <w:tcPr>
            <w:tcW w:w="339" w:type="pct"/>
            <w:shd w:val="clear" w:color="auto" w:fill="00B0F0"/>
          </w:tcPr>
          <w:p w14:paraId="6600E35D" w14:textId="77777777" w:rsidR="001F1408" w:rsidRPr="00C1529D" w:rsidRDefault="001F1408">
            <w:r w:rsidRPr="00C1529D">
              <w:t>Not required</w:t>
            </w:r>
          </w:p>
        </w:tc>
        <w:tc>
          <w:tcPr>
            <w:tcW w:w="370" w:type="pct"/>
            <w:shd w:val="clear" w:color="auto" w:fill="00B0F0"/>
          </w:tcPr>
          <w:p w14:paraId="4B1F49FD" w14:textId="77777777" w:rsidR="001F1408" w:rsidRPr="00C1529D" w:rsidRDefault="001F1408">
            <w:pPr>
              <w:rPr>
                <w:color w:val="000000"/>
              </w:rPr>
            </w:pPr>
            <w:r w:rsidRPr="00C1529D">
              <w:rPr>
                <w:color w:val="000000"/>
              </w:rPr>
              <w:t xml:space="preserve">GTG </w:t>
            </w:r>
          </w:p>
        </w:tc>
        <w:tc>
          <w:tcPr>
            <w:tcW w:w="369" w:type="pct"/>
            <w:shd w:val="clear" w:color="auto" w:fill="00B0F0"/>
          </w:tcPr>
          <w:p w14:paraId="0A665BA2" w14:textId="77777777" w:rsidR="001F1408" w:rsidRDefault="001F1408">
            <w:pPr>
              <w:rPr>
                <w:b/>
                <w:color w:val="000000"/>
                <w:highlight w:val="yellow"/>
              </w:rPr>
            </w:pPr>
          </w:p>
        </w:tc>
        <w:tc>
          <w:tcPr>
            <w:tcW w:w="1070" w:type="pct"/>
            <w:shd w:val="clear" w:color="auto" w:fill="00B0F0"/>
          </w:tcPr>
          <w:p w14:paraId="5A7D4DA6" w14:textId="288FB4CB" w:rsidR="001F1408" w:rsidRPr="00C1529D" w:rsidRDefault="00C1529D">
            <w:pPr>
              <w:rPr>
                <w:bCs/>
                <w:color w:val="000000"/>
                <w:highlight w:val="yellow"/>
              </w:rPr>
            </w:pPr>
            <w:r w:rsidRPr="00C1529D">
              <w:rPr>
                <w:bCs/>
                <w:color w:val="000000"/>
              </w:rPr>
              <w:t xml:space="preserve">GTG will </w:t>
            </w:r>
            <w:r w:rsidR="004F787E">
              <w:rPr>
                <w:bCs/>
                <w:color w:val="000000"/>
              </w:rPr>
              <w:t>submit a progress report to the UNCT in December 2020</w:t>
            </w:r>
          </w:p>
        </w:tc>
      </w:tr>
      <w:tr w:rsidR="004F787E" w14:paraId="1A7C202A" w14:textId="77777777" w:rsidTr="004C1FB1">
        <w:trPr>
          <w:cantSplit/>
          <w:trHeight w:val="3855"/>
        </w:trPr>
        <w:tc>
          <w:tcPr>
            <w:tcW w:w="267" w:type="pct"/>
            <w:vMerge w:val="restart"/>
            <w:shd w:val="clear" w:color="auto" w:fill="D9E2F3"/>
            <w:textDirection w:val="btLr"/>
            <w:vAlign w:val="center"/>
          </w:tcPr>
          <w:p w14:paraId="3C94A69B" w14:textId="7EC943A9" w:rsidR="004F787E" w:rsidRDefault="004F787E" w:rsidP="004F787E">
            <w:pPr>
              <w:ind w:left="113" w:right="288"/>
              <w:jc w:val="center"/>
              <w:rPr>
                <w:b/>
                <w:sz w:val="28"/>
                <w:szCs w:val="28"/>
              </w:rPr>
            </w:pPr>
            <w:r>
              <w:rPr>
                <w:b/>
                <w:sz w:val="28"/>
                <w:szCs w:val="28"/>
              </w:rPr>
              <w:lastRenderedPageBreak/>
              <w:t>Leadership and Advocacy</w:t>
            </w:r>
          </w:p>
        </w:tc>
        <w:tc>
          <w:tcPr>
            <w:tcW w:w="585" w:type="pct"/>
            <w:vMerge w:val="restart"/>
            <w:shd w:val="clear" w:color="auto" w:fill="D9E2F3"/>
          </w:tcPr>
          <w:p w14:paraId="2DC86B71" w14:textId="525759B8" w:rsidR="004F787E" w:rsidRDefault="004F787E" w:rsidP="00BF0A45">
            <w:pPr>
              <w:rPr>
                <w:b/>
                <w:color w:val="000000"/>
              </w:rPr>
            </w:pPr>
            <w:r>
              <w:rPr>
                <w:b/>
                <w:color w:val="000000"/>
              </w:rPr>
              <w:t xml:space="preserve">2. </w:t>
            </w:r>
            <w:r>
              <w:t xml:space="preserve"> </w:t>
            </w:r>
            <w:r>
              <w:rPr>
                <w:b/>
                <w:color w:val="000000"/>
              </w:rPr>
              <w:t>The UNCT leadership is supported by the GTG through evidence-based technical advice and advocacy to deliver on GEWE commitments</w:t>
            </w:r>
          </w:p>
        </w:tc>
        <w:tc>
          <w:tcPr>
            <w:tcW w:w="769" w:type="pct"/>
            <w:vMerge w:val="restart"/>
            <w:shd w:val="clear" w:color="auto" w:fill="D9E2F3"/>
          </w:tcPr>
          <w:p w14:paraId="5314F7D0" w14:textId="77777777" w:rsidR="004F787E" w:rsidRPr="004F787E" w:rsidRDefault="004F787E">
            <w:r w:rsidRPr="004F787E">
              <w:t xml:space="preserve">2.1 Number of joint advocacy initiatives with multi-stakeholders </w:t>
            </w:r>
          </w:p>
          <w:p w14:paraId="6673BB9B" w14:textId="77777777" w:rsidR="004F787E" w:rsidRPr="004F787E" w:rsidRDefault="004F787E">
            <w:r w:rsidRPr="004F787E">
              <w:t xml:space="preserve">on advancement of national legal and policy frameworks on GEWE and awareness-raising on thematic areas  </w:t>
            </w:r>
          </w:p>
          <w:p w14:paraId="3A012FBE" w14:textId="77777777" w:rsidR="004F787E" w:rsidRPr="004F787E" w:rsidRDefault="004F787E">
            <w:r w:rsidRPr="004F787E">
              <w:rPr>
                <w:b/>
              </w:rPr>
              <w:t>Target:</w:t>
            </w:r>
            <w:r w:rsidRPr="004F787E">
              <w:t xml:space="preserve"> 3 in 2020</w:t>
            </w:r>
          </w:p>
          <w:p w14:paraId="5A9168A2" w14:textId="77777777" w:rsidR="004F787E" w:rsidRPr="004F787E" w:rsidRDefault="004F787E">
            <w:r w:rsidRPr="004F787E">
              <w:rPr>
                <w:b/>
              </w:rPr>
              <w:t>Baseline:</w:t>
            </w:r>
            <w:r w:rsidRPr="004F787E">
              <w:t xml:space="preserve"> 2</w:t>
            </w:r>
          </w:p>
          <w:p w14:paraId="176807A4" w14:textId="53FFBB60" w:rsidR="004F787E" w:rsidRDefault="004F787E">
            <w:pPr>
              <w:rPr>
                <w:color w:val="000000"/>
              </w:rPr>
            </w:pPr>
            <w:r w:rsidRPr="004F787E">
              <w:rPr>
                <w:b/>
              </w:rPr>
              <w:t xml:space="preserve">Source: </w:t>
            </w:r>
            <w:r w:rsidRPr="004F787E">
              <w:t>GTG meeting minutes, GTG</w:t>
            </w:r>
            <w:r w:rsidRPr="004F787E">
              <w:rPr>
                <w:color w:val="000000"/>
              </w:rPr>
              <w:t xml:space="preserve"> policy briefs, advocacy messages and position papers</w:t>
            </w:r>
          </w:p>
          <w:p w14:paraId="14C43289" w14:textId="45D37162" w:rsidR="003A1255" w:rsidRDefault="003A1255">
            <w:pPr>
              <w:rPr>
                <w:color w:val="000000"/>
              </w:rPr>
            </w:pPr>
          </w:p>
          <w:p w14:paraId="60FF72CC" w14:textId="77777777" w:rsidR="004F787E" w:rsidRPr="004F787E" w:rsidRDefault="004F787E">
            <w:r w:rsidRPr="004F787E">
              <w:lastRenderedPageBreak/>
              <w:t xml:space="preserve">2.2. Number of technical reference tools on GEWE practices developed to strengthen the capacities of GTG to mainstream gender across HDP </w:t>
            </w:r>
            <w:proofErr w:type="gramStart"/>
            <w:r w:rsidRPr="004F787E">
              <w:t>nexus</w:t>
            </w:r>
            <w:proofErr w:type="gramEnd"/>
            <w:r w:rsidRPr="004F787E">
              <w:t xml:space="preserve"> </w:t>
            </w:r>
          </w:p>
          <w:p w14:paraId="42E3F199" w14:textId="77777777" w:rsidR="004F787E" w:rsidRPr="004F787E" w:rsidRDefault="004F787E">
            <w:r w:rsidRPr="004F787E">
              <w:rPr>
                <w:b/>
              </w:rPr>
              <w:t>Target:</w:t>
            </w:r>
            <w:r w:rsidRPr="004F787E">
              <w:t xml:space="preserve"> 4</w:t>
            </w:r>
          </w:p>
          <w:p w14:paraId="3DB84D3A" w14:textId="77777777" w:rsidR="004F787E" w:rsidRPr="004F787E" w:rsidRDefault="004F787E">
            <w:r w:rsidRPr="004F787E">
              <w:rPr>
                <w:b/>
              </w:rPr>
              <w:t>Baseline:</w:t>
            </w:r>
            <w:r w:rsidRPr="004F787E">
              <w:t xml:space="preserve"> 0</w:t>
            </w:r>
          </w:p>
          <w:p w14:paraId="7CCE8D70" w14:textId="62779152" w:rsidR="004F787E" w:rsidRPr="004F787E" w:rsidRDefault="004F787E" w:rsidP="00B208FB">
            <w:r w:rsidRPr="004F787E">
              <w:rPr>
                <w:b/>
              </w:rPr>
              <w:t xml:space="preserve">Source: </w:t>
            </w:r>
            <w:r w:rsidRPr="004F787E">
              <w:t>GTG meeting minutes</w:t>
            </w:r>
            <w:r w:rsidRPr="004F787E">
              <w:rPr>
                <w:b/>
              </w:rPr>
              <w:t xml:space="preserve">, </w:t>
            </w:r>
            <w:r w:rsidRPr="004F787E">
              <w:t xml:space="preserve">GTG CoP online repository </w:t>
            </w:r>
          </w:p>
        </w:tc>
        <w:tc>
          <w:tcPr>
            <w:tcW w:w="893" w:type="pct"/>
            <w:tcBorders>
              <w:bottom w:val="single" w:sz="4" w:space="0" w:color="auto"/>
            </w:tcBorders>
            <w:shd w:val="clear" w:color="auto" w:fill="00B0F0"/>
          </w:tcPr>
          <w:p w14:paraId="3BC1D7D6" w14:textId="77777777" w:rsidR="004F787E" w:rsidRPr="004F787E" w:rsidRDefault="004F787E" w:rsidP="004F787E">
            <w:pPr>
              <w:jc w:val="both"/>
              <w:rPr>
                <w:color w:val="000000"/>
              </w:rPr>
            </w:pPr>
            <w:r w:rsidRPr="004F787E">
              <w:rPr>
                <w:color w:val="000000"/>
              </w:rPr>
              <w:lastRenderedPageBreak/>
              <w:t xml:space="preserve">2.1.1 Develop joint briefs, position papers, policy recommendations, including advocacy campaigns, in close partnership with UN, TWGs, GEWE partners, GIHA focal points and external multi-stakeholders to promote GEWE </w:t>
            </w:r>
            <w:proofErr w:type="gramStart"/>
            <w:r w:rsidRPr="004F787E">
              <w:rPr>
                <w:color w:val="000000"/>
              </w:rPr>
              <w:t>commitments</w:t>
            </w:r>
            <w:proofErr w:type="gramEnd"/>
            <w:r w:rsidRPr="004F787E">
              <w:rPr>
                <w:color w:val="000000"/>
              </w:rPr>
              <w:t xml:space="preserve"> </w:t>
            </w:r>
          </w:p>
          <w:p w14:paraId="1681FF8A" w14:textId="77777777" w:rsidR="004F787E" w:rsidRPr="004F787E" w:rsidRDefault="004F787E" w:rsidP="004F787E">
            <w:pPr>
              <w:jc w:val="both"/>
              <w:rPr>
                <w:color w:val="000000"/>
              </w:rPr>
            </w:pPr>
            <w:r w:rsidRPr="004F787E">
              <w:rPr>
                <w:color w:val="000000"/>
              </w:rPr>
              <w:t>(Durable Solutions GEWE analysis; SDG fund)</w:t>
            </w:r>
          </w:p>
          <w:p w14:paraId="5CF26B11" w14:textId="77777777" w:rsidR="004F787E" w:rsidRDefault="004F787E">
            <w:pPr>
              <w:jc w:val="both"/>
              <w:rPr>
                <w:color w:val="000000"/>
              </w:rPr>
            </w:pPr>
          </w:p>
          <w:p w14:paraId="0312A5A0" w14:textId="77777777" w:rsidR="003A1255" w:rsidRDefault="003A1255">
            <w:pPr>
              <w:jc w:val="both"/>
              <w:rPr>
                <w:color w:val="000000"/>
              </w:rPr>
            </w:pPr>
          </w:p>
          <w:p w14:paraId="334E37F7" w14:textId="77777777" w:rsidR="003A1255" w:rsidRDefault="003A1255">
            <w:pPr>
              <w:jc w:val="both"/>
              <w:rPr>
                <w:color w:val="000000"/>
              </w:rPr>
            </w:pPr>
          </w:p>
          <w:p w14:paraId="6ED39B98" w14:textId="77777777" w:rsidR="003A1255" w:rsidRDefault="003A1255">
            <w:pPr>
              <w:jc w:val="both"/>
              <w:rPr>
                <w:color w:val="000000"/>
              </w:rPr>
            </w:pPr>
          </w:p>
          <w:p w14:paraId="1B14F528" w14:textId="5AC5BC3F" w:rsidR="003A1255" w:rsidRPr="004F787E" w:rsidRDefault="003A1255">
            <w:pPr>
              <w:jc w:val="both"/>
              <w:rPr>
                <w:color w:val="000000"/>
              </w:rPr>
            </w:pPr>
          </w:p>
        </w:tc>
        <w:tc>
          <w:tcPr>
            <w:tcW w:w="338" w:type="pct"/>
            <w:tcBorders>
              <w:bottom w:val="single" w:sz="4" w:space="0" w:color="auto"/>
            </w:tcBorders>
            <w:shd w:val="clear" w:color="auto" w:fill="00B0F0"/>
          </w:tcPr>
          <w:p w14:paraId="5517D724" w14:textId="77777777" w:rsidR="004F787E" w:rsidRPr="004F787E" w:rsidRDefault="004F787E" w:rsidP="004F787E">
            <w:r w:rsidRPr="004F787E">
              <w:t>Q1 – Q4 2020</w:t>
            </w:r>
          </w:p>
          <w:p w14:paraId="0E0DAF90" w14:textId="77777777" w:rsidR="004F787E" w:rsidRPr="004F787E" w:rsidRDefault="004F787E"/>
        </w:tc>
        <w:tc>
          <w:tcPr>
            <w:tcW w:w="339" w:type="pct"/>
            <w:tcBorders>
              <w:bottom w:val="single" w:sz="4" w:space="0" w:color="auto"/>
            </w:tcBorders>
            <w:shd w:val="clear" w:color="auto" w:fill="00B0F0"/>
          </w:tcPr>
          <w:p w14:paraId="77328CA7" w14:textId="77777777" w:rsidR="004F787E" w:rsidRPr="004F787E" w:rsidRDefault="004F787E" w:rsidP="004F787E">
            <w:r w:rsidRPr="004F787E">
              <w:t xml:space="preserve">Not required </w:t>
            </w:r>
          </w:p>
          <w:p w14:paraId="3E14EB59" w14:textId="77777777" w:rsidR="004F787E" w:rsidRPr="004F787E" w:rsidRDefault="004F787E"/>
        </w:tc>
        <w:tc>
          <w:tcPr>
            <w:tcW w:w="370" w:type="pct"/>
            <w:tcBorders>
              <w:bottom w:val="single" w:sz="4" w:space="0" w:color="auto"/>
            </w:tcBorders>
            <w:shd w:val="clear" w:color="auto" w:fill="00B0F0"/>
          </w:tcPr>
          <w:p w14:paraId="43958C79" w14:textId="6A6133DB" w:rsidR="004F787E" w:rsidRPr="004F787E" w:rsidRDefault="004F787E">
            <w:pPr>
              <w:rPr>
                <w:color w:val="000000"/>
              </w:rPr>
            </w:pPr>
            <w:r>
              <w:rPr>
                <w:color w:val="000000"/>
              </w:rPr>
              <w:t>GTG</w:t>
            </w:r>
          </w:p>
        </w:tc>
        <w:tc>
          <w:tcPr>
            <w:tcW w:w="369" w:type="pct"/>
            <w:tcBorders>
              <w:bottom w:val="single" w:sz="4" w:space="0" w:color="auto"/>
            </w:tcBorders>
            <w:shd w:val="clear" w:color="auto" w:fill="00B0F0"/>
          </w:tcPr>
          <w:p w14:paraId="5B3AE150" w14:textId="0D832635" w:rsidR="004F787E" w:rsidRPr="004F787E" w:rsidRDefault="004F787E">
            <w:pPr>
              <w:rPr>
                <w:color w:val="000000"/>
              </w:rPr>
            </w:pPr>
            <w:r>
              <w:rPr>
                <w:color w:val="000000"/>
              </w:rPr>
              <w:t>GTG co-chairs</w:t>
            </w:r>
          </w:p>
        </w:tc>
        <w:tc>
          <w:tcPr>
            <w:tcW w:w="1070" w:type="pct"/>
            <w:tcBorders>
              <w:bottom w:val="single" w:sz="4" w:space="0" w:color="auto"/>
            </w:tcBorders>
            <w:shd w:val="clear" w:color="auto" w:fill="00B0F0"/>
          </w:tcPr>
          <w:p w14:paraId="11A6BDAC" w14:textId="77777777" w:rsidR="003A1255" w:rsidRPr="003A1255" w:rsidRDefault="003A1255" w:rsidP="003A1255">
            <w:pPr>
              <w:pStyle w:val="ListParagraph"/>
              <w:numPr>
                <w:ilvl w:val="0"/>
                <w:numId w:val="7"/>
              </w:numPr>
              <w:jc w:val="both"/>
              <w:rPr>
                <w:sz w:val="22"/>
                <w:szCs w:val="22"/>
              </w:rPr>
            </w:pPr>
            <w:r w:rsidRPr="003A1255">
              <w:rPr>
                <w:sz w:val="22"/>
                <w:szCs w:val="22"/>
              </w:rPr>
              <w:t>2 out of 3 targets</w:t>
            </w:r>
          </w:p>
          <w:p w14:paraId="6CE28CD3" w14:textId="77777777" w:rsidR="003A1255" w:rsidRDefault="004F787E" w:rsidP="004F787E">
            <w:pPr>
              <w:pStyle w:val="ListParagraph"/>
              <w:numPr>
                <w:ilvl w:val="0"/>
                <w:numId w:val="7"/>
              </w:numPr>
              <w:jc w:val="both"/>
              <w:rPr>
                <w:sz w:val="22"/>
                <w:szCs w:val="22"/>
              </w:rPr>
            </w:pPr>
            <w:r w:rsidRPr="003A1255">
              <w:rPr>
                <w:sz w:val="22"/>
                <w:szCs w:val="22"/>
              </w:rPr>
              <w:t xml:space="preserve">GTG provided </w:t>
            </w:r>
            <w:r w:rsidR="003A1255">
              <w:rPr>
                <w:sz w:val="22"/>
                <w:szCs w:val="22"/>
              </w:rPr>
              <w:t xml:space="preserve">technical, coordination and advocacy support to the </w:t>
            </w:r>
            <w:proofErr w:type="spellStart"/>
            <w:r w:rsidR="003A1255">
              <w:rPr>
                <w:sz w:val="22"/>
                <w:szCs w:val="22"/>
              </w:rPr>
              <w:t>GoM</w:t>
            </w:r>
            <w:proofErr w:type="spellEnd"/>
            <w:r w:rsidR="003A1255">
              <w:rPr>
                <w:sz w:val="22"/>
                <w:szCs w:val="22"/>
              </w:rPr>
              <w:t xml:space="preserve"> and MNCW </w:t>
            </w:r>
            <w:r w:rsidRPr="003A1255">
              <w:rPr>
                <w:sz w:val="22"/>
                <w:szCs w:val="22"/>
              </w:rPr>
              <w:t>Advocacy on</w:t>
            </w:r>
            <w:r w:rsidR="003A1255">
              <w:rPr>
                <w:sz w:val="22"/>
                <w:szCs w:val="22"/>
              </w:rPr>
              <w:t xml:space="preserve"> the planning and execution of the virtual discussions on impact of</w:t>
            </w:r>
            <w:r w:rsidRPr="003A1255">
              <w:rPr>
                <w:sz w:val="22"/>
                <w:szCs w:val="22"/>
              </w:rPr>
              <w:t xml:space="preserve"> COVID -19 </w:t>
            </w:r>
            <w:r w:rsidR="003A1255">
              <w:rPr>
                <w:sz w:val="22"/>
                <w:szCs w:val="22"/>
              </w:rPr>
              <w:t xml:space="preserve">and women in </w:t>
            </w:r>
            <w:r w:rsidRPr="003A1255">
              <w:rPr>
                <w:sz w:val="22"/>
                <w:szCs w:val="22"/>
              </w:rPr>
              <w:t>economy, GBV, education</w:t>
            </w:r>
            <w:r w:rsidR="003A1255">
              <w:rPr>
                <w:sz w:val="22"/>
                <w:szCs w:val="22"/>
              </w:rPr>
              <w:t xml:space="preserve"> and health for the Myanmar National Women Day. All virtual dialogues can be access </w:t>
            </w:r>
            <w:hyperlink r:id="rId13" w:history="1">
              <w:r w:rsidR="003A1255">
                <w:rPr>
                  <w:rStyle w:val="Hyperlink"/>
                  <w:sz w:val="22"/>
                  <w:szCs w:val="22"/>
                </w:rPr>
                <w:t>here</w:t>
              </w:r>
            </w:hyperlink>
            <w:r w:rsidR="003A1255">
              <w:rPr>
                <w:sz w:val="22"/>
                <w:szCs w:val="22"/>
              </w:rPr>
              <w:t xml:space="preserve"> </w:t>
            </w:r>
          </w:p>
          <w:p w14:paraId="08D2C043" w14:textId="4A5257D1" w:rsidR="004F787E" w:rsidRPr="003A1255" w:rsidRDefault="003A1255" w:rsidP="004F787E">
            <w:pPr>
              <w:pStyle w:val="ListParagraph"/>
              <w:numPr>
                <w:ilvl w:val="0"/>
                <w:numId w:val="7"/>
              </w:numPr>
              <w:jc w:val="both"/>
              <w:rPr>
                <w:sz w:val="22"/>
                <w:szCs w:val="22"/>
              </w:rPr>
            </w:pPr>
            <w:r w:rsidRPr="003A1255">
              <w:rPr>
                <w:sz w:val="22"/>
                <w:szCs w:val="22"/>
              </w:rPr>
              <w:t xml:space="preserve">GTG supported continuous advocacy on the </w:t>
            </w:r>
            <w:proofErr w:type="gramStart"/>
            <w:r w:rsidRPr="003A1255">
              <w:rPr>
                <w:sz w:val="22"/>
                <w:szCs w:val="22"/>
              </w:rPr>
              <w:t>POVAW</w:t>
            </w:r>
            <w:proofErr w:type="gramEnd"/>
          </w:p>
          <w:p w14:paraId="7CE28E5A" w14:textId="77777777" w:rsidR="004F787E" w:rsidRPr="004F787E" w:rsidRDefault="004F787E" w:rsidP="004F787E">
            <w:pPr>
              <w:jc w:val="both"/>
            </w:pPr>
          </w:p>
        </w:tc>
      </w:tr>
      <w:tr w:rsidR="004F787E" w14:paraId="39C9AFFE" w14:textId="1418B59F" w:rsidTr="004C1FB1">
        <w:trPr>
          <w:cantSplit/>
          <w:trHeight w:val="3855"/>
        </w:trPr>
        <w:tc>
          <w:tcPr>
            <w:tcW w:w="267" w:type="pct"/>
            <w:vMerge/>
            <w:shd w:val="clear" w:color="auto" w:fill="D9E2F3"/>
            <w:textDirection w:val="btLr"/>
            <w:vAlign w:val="center"/>
          </w:tcPr>
          <w:p w14:paraId="1869A813" w14:textId="44229C0C" w:rsidR="004F787E" w:rsidRDefault="004F787E" w:rsidP="004F787E">
            <w:pPr>
              <w:ind w:left="113" w:right="288"/>
              <w:jc w:val="center"/>
              <w:rPr>
                <w:sz w:val="28"/>
                <w:szCs w:val="28"/>
              </w:rPr>
            </w:pPr>
          </w:p>
        </w:tc>
        <w:tc>
          <w:tcPr>
            <w:tcW w:w="585" w:type="pct"/>
            <w:vMerge/>
            <w:shd w:val="clear" w:color="auto" w:fill="D9E2F3"/>
          </w:tcPr>
          <w:p w14:paraId="28619A73" w14:textId="43709D82" w:rsidR="004F787E" w:rsidRDefault="004F787E">
            <w:pPr>
              <w:rPr>
                <w:b/>
                <w:color w:val="000000"/>
              </w:rPr>
            </w:pPr>
          </w:p>
        </w:tc>
        <w:tc>
          <w:tcPr>
            <w:tcW w:w="769" w:type="pct"/>
            <w:vMerge/>
            <w:shd w:val="clear" w:color="auto" w:fill="D9E2F3"/>
          </w:tcPr>
          <w:p w14:paraId="6DEE35B4" w14:textId="62DCFE4F" w:rsidR="004F787E" w:rsidRPr="004F787E" w:rsidRDefault="004F787E"/>
        </w:tc>
        <w:tc>
          <w:tcPr>
            <w:tcW w:w="893" w:type="pct"/>
            <w:tcBorders>
              <w:bottom w:val="single" w:sz="4" w:space="0" w:color="auto"/>
            </w:tcBorders>
            <w:shd w:val="clear" w:color="auto" w:fill="00B0F0"/>
          </w:tcPr>
          <w:p w14:paraId="4D7A70A6" w14:textId="77777777" w:rsidR="003A1255" w:rsidRPr="004F787E" w:rsidRDefault="003A1255" w:rsidP="003A1255">
            <w:pPr>
              <w:jc w:val="both"/>
              <w:rPr>
                <w:color w:val="000000"/>
              </w:rPr>
            </w:pPr>
            <w:r w:rsidRPr="004F787E">
              <w:rPr>
                <w:color w:val="000000"/>
              </w:rPr>
              <w:t xml:space="preserve">2.2.1 Develop brief gender planning and programming checklists including gender mainstreaming resource package to equip gender focal points members with guidance </w:t>
            </w:r>
            <w:proofErr w:type="gramStart"/>
            <w:r w:rsidRPr="004F787E">
              <w:rPr>
                <w:color w:val="000000"/>
              </w:rPr>
              <w:t>tools</w:t>
            </w:r>
            <w:proofErr w:type="gramEnd"/>
          </w:p>
          <w:p w14:paraId="3C753F8F" w14:textId="7F1815F5" w:rsidR="004F787E" w:rsidRPr="004F787E" w:rsidRDefault="004F787E" w:rsidP="004F787E">
            <w:pPr>
              <w:jc w:val="both"/>
            </w:pPr>
          </w:p>
        </w:tc>
        <w:tc>
          <w:tcPr>
            <w:tcW w:w="338" w:type="pct"/>
            <w:tcBorders>
              <w:bottom w:val="single" w:sz="4" w:space="0" w:color="auto"/>
            </w:tcBorders>
            <w:shd w:val="clear" w:color="auto" w:fill="00B0F0"/>
          </w:tcPr>
          <w:p w14:paraId="1341F582" w14:textId="579F2EAD" w:rsidR="004F787E" w:rsidRPr="004F787E" w:rsidRDefault="003A1255">
            <w:r w:rsidRPr="004F787E">
              <w:t>Q3 2020</w:t>
            </w:r>
          </w:p>
          <w:p w14:paraId="647447AD" w14:textId="77777777" w:rsidR="004F787E" w:rsidRPr="004F787E" w:rsidRDefault="004F787E"/>
          <w:p w14:paraId="5BEEB4AD" w14:textId="77777777" w:rsidR="004F787E" w:rsidRPr="004F787E" w:rsidRDefault="004F787E"/>
          <w:p w14:paraId="6F964236" w14:textId="77777777" w:rsidR="004F787E" w:rsidRPr="004F787E" w:rsidRDefault="004F787E"/>
          <w:p w14:paraId="72770B00" w14:textId="77777777" w:rsidR="004F787E" w:rsidRPr="004F787E" w:rsidRDefault="004F787E"/>
          <w:p w14:paraId="5BEDE2BA" w14:textId="77777777" w:rsidR="004F787E" w:rsidRPr="004F787E" w:rsidRDefault="004F787E"/>
          <w:p w14:paraId="501FF0C8" w14:textId="77777777" w:rsidR="004F787E" w:rsidRPr="004F787E" w:rsidRDefault="004F787E"/>
          <w:p w14:paraId="7465021E" w14:textId="77777777" w:rsidR="004F787E" w:rsidRPr="004F787E" w:rsidRDefault="004F787E"/>
          <w:p w14:paraId="620F3474" w14:textId="77777777" w:rsidR="004F787E" w:rsidRPr="004F787E" w:rsidRDefault="004F787E"/>
          <w:p w14:paraId="7C5C3435" w14:textId="77777777" w:rsidR="004F787E" w:rsidRPr="004F787E" w:rsidRDefault="004F787E"/>
          <w:p w14:paraId="784BCEEF" w14:textId="77777777" w:rsidR="004F787E" w:rsidRPr="004F787E" w:rsidRDefault="004F787E"/>
          <w:p w14:paraId="0F4EA66E" w14:textId="77777777" w:rsidR="004F787E" w:rsidRPr="004F787E" w:rsidRDefault="004F787E"/>
          <w:p w14:paraId="5C9A4999" w14:textId="204F8F86" w:rsidR="004F787E" w:rsidRPr="004F787E" w:rsidRDefault="004F787E"/>
        </w:tc>
        <w:tc>
          <w:tcPr>
            <w:tcW w:w="339" w:type="pct"/>
            <w:tcBorders>
              <w:bottom w:val="single" w:sz="4" w:space="0" w:color="auto"/>
            </w:tcBorders>
            <w:shd w:val="clear" w:color="auto" w:fill="00B0F0"/>
          </w:tcPr>
          <w:p w14:paraId="5E07365E" w14:textId="7097B46B" w:rsidR="004F787E" w:rsidRPr="004F787E" w:rsidRDefault="003A1255">
            <w:r w:rsidRPr="004F787E">
              <w:t>Not required</w:t>
            </w:r>
          </w:p>
          <w:p w14:paraId="55BD8D16" w14:textId="77777777" w:rsidR="004F787E" w:rsidRPr="004F787E" w:rsidRDefault="004F787E"/>
          <w:p w14:paraId="63DA7622" w14:textId="77777777" w:rsidR="004F787E" w:rsidRPr="004F787E" w:rsidRDefault="004F787E"/>
          <w:p w14:paraId="4EF2DAD4" w14:textId="77777777" w:rsidR="004F787E" w:rsidRPr="004F787E" w:rsidRDefault="004F787E"/>
          <w:p w14:paraId="55C1E71B" w14:textId="77777777" w:rsidR="004F787E" w:rsidRPr="004F787E" w:rsidRDefault="004F787E"/>
          <w:p w14:paraId="0ACBECD3" w14:textId="77777777" w:rsidR="004F787E" w:rsidRPr="004F787E" w:rsidRDefault="004F787E"/>
          <w:p w14:paraId="4C491159" w14:textId="77777777" w:rsidR="004F787E" w:rsidRPr="004F787E" w:rsidRDefault="004F787E"/>
          <w:p w14:paraId="2A2B741A" w14:textId="77777777" w:rsidR="004F787E" w:rsidRPr="004F787E" w:rsidRDefault="004F787E"/>
          <w:p w14:paraId="6011CB15" w14:textId="77777777" w:rsidR="004F787E" w:rsidRPr="004F787E" w:rsidRDefault="004F787E"/>
          <w:p w14:paraId="25A8C2F7" w14:textId="77777777" w:rsidR="004F787E" w:rsidRPr="004F787E" w:rsidRDefault="004F787E"/>
          <w:p w14:paraId="564C4B81" w14:textId="77777777" w:rsidR="004F787E" w:rsidRPr="004F787E" w:rsidRDefault="004F787E"/>
          <w:p w14:paraId="47F98288" w14:textId="77777777" w:rsidR="004F787E" w:rsidRPr="004F787E" w:rsidRDefault="004F787E"/>
          <w:p w14:paraId="735DA9C3" w14:textId="61ABEFC6" w:rsidR="004F787E" w:rsidRPr="004F787E" w:rsidRDefault="004F787E"/>
        </w:tc>
        <w:tc>
          <w:tcPr>
            <w:tcW w:w="370" w:type="pct"/>
            <w:tcBorders>
              <w:bottom w:val="single" w:sz="4" w:space="0" w:color="auto"/>
            </w:tcBorders>
            <w:shd w:val="clear" w:color="auto" w:fill="00B0F0"/>
          </w:tcPr>
          <w:p w14:paraId="0AEE2E94" w14:textId="4B865132" w:rsidR="004F787E" w:rsidRPr="004F787E" w:rsidRDefault="003A1255">
            <w:pPr>
              <w:rPr>
                <w:color w:val="000000"/>
              </w:rPr>
            </w:pPr>
            <w:r>
              <w:rPr>
                <w:color w:val="000000"/>
              </w:rPr>
              <w:t>GTG</w:t>
            </w:r>
          </w:p>
          <w:p w14:paraId="6E7D918B" w14:textId="77777777" w:rsidR="004F787E" w:rsidRPr="004F787E" w:rsidRDefault="004F787E">
            <w:pPr>
              <w:rPr>
                <w:color w:val="000000"/>
              </w:rPr>
            </w:pPr>
          </w:p>
          <w:p w14:paraId="62458106" w14:textId="77777777" w:rsidR="004F787E" w:rsidRPr="004F787E" w:rsidRDefault="004F787E">
            <w:pPr>
              <w:rPr>
                <w:color w:val="000000"/>
              </w:rPr>
            </w:pPr>
          </w:p>
          <w:p w14:paraId="1F73A304" w14:textId="77777777" w:rsidR="004F787E" w:rsidRPr="004F787E" w:rsidRDefault="004F787E">
            <w:pPr>
              <w:rPr>
                <w:color w:val="000000"/>
              </w:rPr>
            </w:pPr>
          </w:p>
          <w:p w14:paraId="32419025" w14:textId="77777777" w:rsidR="004F787E" w:rsidRPr="004F787E" w:rsidRDefault="004F787E">
            <w:pPr>
              <w:rPr>
                <w:color w:val="000000"/>
              </w:rPr>
            </w:pPr>
          </w:p>
          <w:p w14:paraId="18439E0E" w14:textId="77777777" w:rsidR="004F787E" w:rsidRPr="004F787E" w:rsidRDefault="004F787E">
            <w:pPr>
              <w:rPr>
                <w:color w:val="000000"/>
              </w:rPr>
            </w:pPr>
          </w:p>
          <w:p w14:paraId="751344EB" w14:textId="77777777" w:rsidR="004F787E" w:rsidRPr="004F787E" w:rsidRDefault="004F787E">
            <w:pPr>
              <w:rPr>
                <w:color w:val="000000"/>
              </w:rPr>
            </w:pPr>
          </w:p>
          <w:p w14:paraId="7F47D04C" w14:textId="77777777" w:rsidR="004F787E" w:rsidRPr="004F787E" w:rsidRDefault="004F787E">
            <w:pPr>
              <w:rPr>
                <w:color w:val="000000"/>
              </w:rPr>
            </w:pPr>
          </w:p>
          <w:p w14:paraId="010EE73A" w14:textId="77777777" w:rsidR="004F787E" w:rsidRPr="004F787E" w:rsidRDefault="004F787E">
            <w:pPr>
              <w:rPr>
                <w:color w:val="000000"/>
              </w:rPr>
            </w:pPr>
          </w:p>
          <w:p w14:paraId="33C95A09" w14:textId="77777777" w:rsidR="004F787E" w:rsidRPr="004F787E" w:rsidRDefault="004F787E">
            <w:pPr>
              <w:rPr>
                <w:color w:val="000000"/>
              </w:rPr>
            </w:pPr>
          </w:p>
          <w:p w14:paraId="4E8FED6D" w14:textId="77777777" w:rsidR="004F787E" w:rsidRPr="004F787E" w:rsidRDefault="004F787E">
            <w:pPr>
              <w:rPr>
                <w:color w:val="000000"/>
              </w:rPr>
            </w:pPr>
          </w:p>
          <w:p w14:paraId="029451FE" w14:textId="77777777" w:rsidR="004F787E" w:rsidRPr="004F787E" w:rsidRDefault="004F787E">
            <w:pPr>
              <w:rPr>
                <w:color w:val="000000"/>
              </w:rPr>
            </w:pPr>
          </w:p>
          <w:p w14:paraId="0F1A41E9" w14:textId="77777777" w:rsidR="004F787E" w:rsidRPr="004F787E" w:rsidRDefault="004F787E">
            <w:pPr>
              <w:rPr>
                <w:color w:val="000000"/>
              </w:rPr>
            </w:pPr>
          </w:p>
          <w:p w14:paraId="1D2C8879" w14:textId="7F0BBF33" w:rsidR="004F787E" w:rsidRPr="004F787E" w:rsidRDefault="004F787E">
            <w:pPr>
              <w:rPr>
                <w:color w:val="000000"/>
              </w:rPr>
            </w:pPr>
          </w:p>
        </w:tc>
        <w:tc>
          <w:tcPr>
            <w:tcW w:w="369" w:type="pct"/>
            <w:tcBorders>
              <w:bottom w:val="single" w:sz="4" w:space="0" w:color="auto"/>
            </w:tcBorders>
            <w:shd w:val="clear" w:color="auto" w:fill="00B0F0"/>
          </w:tcPr>
          <w:p w14:paraId="4A6A3031" w14:textId="6C2E30BE" w:rsidR="004F787E" w:rsidRPr="003A1255" w:rsidRDefault="003A1255" w:rsidP="004C1FB1">
            <w:pPr>
              <w:rPr>
                <w:bCs/>
                <w:color w:val="000000"/>
              </w:rPr>
            </w:pPr>
            <w:r w:rsidRPr="003A1255">
              <w:rPr>
                <w:bCs/>
                <w:color w:val="000000"/>
              </w:rPr>
              <w:t xml:space="preserve">GTG </w:t>
            </w:r>
          </w:p>
          <w:p w14:paraId="66C7AF33" w14:textId="4E72EEF5" w:rsidR="004F787E" w:rsidRPr="003A1255" w:rsidRDefault="003A1255" w:rsidP="004C1FB1">
            <w:pPr>
              <w:rPr>
                <w:bCs/>
                <w:color w:val="000000"/>
              </w:rPr>
            </w:pPr>
            <w:r w:rsidRPr="003A1255">
              <w:rPr>
                <w:bCs/>
                <w:color w:val="000000"/>
              </w:rPr>
              <w:t>Co-chairs</w:t>
            </w:r>
          </w:p>
          <w:p w14:paraId="15992AD8" w14:textId="77777777" w:rsidR="004F787E" w:rsidRPr="004F787E" w:rsidRDefault="004F787E" w:rsidP="004C1FB1">
            <w:pPr>
              <w:rPr>
                <w:b/>
                <w:color w:val="000000"/>
              </w:rPr>
            </w:pPr>
          </w:p>
          <w:p w14:paraId="300D68DA" w14:textId="77777777" w:rsidR="004F787E" w:rsidRPr="004F787E" w:rsidRDefault="004F787E" w:rsidP="004C1FB1">
            <w:pPr>
              <w:rPr>
                <w:b/>
                <w:color w:val="000000"/>
              </w:rPr>
            </w:pPr>
          </w:p>
          <w:p w14:paraId="0D7C3882" w14:textId="77777777" w:rsidR="004F787E" w:rsidRPr="004F787E" w:rsidRDefault="004F787E" w:rsidP="004C1FB1">
            <w:pPr>
              <w:rPr>
                <w:b/>
                <w:color w:val="000000"/>
              </w:rPr>
            </w:pPr>
          </w:p>
          <w:p w14:paraId="71908760" w14:textId="77777777" w:rsidR="004F787E" w:rsidRPr="004F787E" w:rsidRDefault="004F787E" w:rsidP="004C1FB1">
            <w:pPr>
              <w:rPr>
                <w:b/>
                <w:color w:val="000000"/>
              </w:rPr>
            </w:pPr>
          </w:p>
          <w:p w14:paraId="50A657E6" w14:textId="77777777" w:rsidR="004F787E" w:rsidRPr="004F787E" w:rsidRDefault="004F787E" w:rsidP="004C1FB1">
            <w:pPr>
              <w:rPr>
                <w:b/>
                <w:color w:val="000000"/>
              </w:rPr>
            </w:pPr>
          </w:p>
          <w:p w14:paraId="1886ED4C" w14:textId="77777777" w:rsidR="004F787E" w:rsidRPr="004F787E" w:rsidRDefault="004F787E" w:rsidP="004C1FB1">
            <w:pPr>
              <w:rPr>
                <w:b/>
                <w:color w:val="000000"/>
              </w:rPr>
            </w:pPr>
          </w:p>
          <w:p w14:paraId="0B4A2ED1" w14:textId="77777777" w:rsidR="004F787E" w:rsidRPr="004F787E" w:rsidRDefault="004F787E" w:rsidP="004C1FB1">
            <w:pPr>
              <w:rPr>
                <w:b/>
                <w:color w:val="000000"/>
              </w:rPr>
            </w:pPr>
          </w:p>
          <w:p w14:paraId="37F2AFDD" w14:textId="77777777" w:rsidR="004F787E" w:rsidRPr="004F787E" w:rsidRDefault="004F787E" w:rsidP="004C1FB1">
            <w:pPr>
              <w:rPr>
                <w:b/>
                <w:color w:val="000000"/>
              </w:rPr>
            </w:pPr>
          </w:p>
          <w:p w14:paraId="74518401" w14:textId="77777777" w:rsidR="004F787E" w:rsidRPr="004F787E" w:rsidRDefault="004F787E" w:rsidP="004C1FB1">
            <w:pPr>
              <w:rPr>
                <w:b/>
                <w:color w:val="000000"/>
              </w:rPr>
            </w:pPr>
          </w:p>
          <w:p w14:paraId="76420894" w14:textId="77777777" w:rsidR="004F787E" w:rsidRPr="004F787E" w:rsidRDefault="004F787E" w:rsidP="004C1FB1">
            <w:pPr>
              <w:rPr>
                <w:b/>
                <w:color w:val="000000"/>
              </w:rPr>
            </w:pPr>
          </w:p>
          <w:p w14:paraId="4E80AF16" w14:textId="77777777" w:rsidR="004F787E" w:rsidRPr="004F787E" w:rsidRDefault="004F787E" w:rsidP="004C1FB1">
            <w:pPr>
              <w:rPr>
                <w:b/>
                <w:color w:val="000000"/>
              </w:rPr>
            </w:pPr>
          </w:p>
        </w:tc>
        <w:tc>
          <w:tcPr>
            <w:tcW w:w="1070" w:type="pct"/>
            <w:tcBorders>
              <w:bottom w:val="single" w:sz="4" w:space="0" w:color="auto"/>
            </w:tcBorders>
            <w:shd w:val="clear" w:color="auto" w:fill="00B0F0"/>
          </w:tcPr>
          <w:p w14:paraId="05D7F676" w14:textId="77777777" w:rsidR="004C1FB1" w:rsidRPr="004C1FB1" w:rsidRDefault="004C1FB1" w:rsidP="004C1FB1">
            <w:pPr>
              <w:pStyle w:val="NoSpacing"/>
              <w:numPr>
                <w:ilvl w:val="0"/>
                <w:numId w:val="10"/>
              </w:numPr>
            </w:pPr>
            <w:r w:rsidRPr="004C1FB1">
              <w:t xml:space="preserve">3 out of 4 targets </w:t>
            </w:r>
          </w:p>
          <w:p w14:paraId="4916BE18" w14:textId="77777777" w:rsidR="004C1FB1" w:rsidRPr="004C1FB1" w:rsidRDefault="004C1FB1" w:rsidP="004C1FB1">
            <w:pPr>
              <w:pStyle w:val="NoSpacing"/>
              <w:numPr>
                <w:ilvl w:val="0"/>
                <w:numId w:val="10"/>
              </w:numPr>
            </w:pPr>
            <w:r w:rsidRPr="004C1FB1">
              <w:t>Advocacy Tool for</w:t>
            </w:r>
            <w:r>
              <w:t xml:space="preserve"> </w:t>
            </w:r>
            <w:r w:rsidRPr="004C1FB1">
              <w:t>Mainstreaming of Gender Equality and Women’s Empowerment into the Myanmar UN SERF</w:t>
            </w:r>
          </w:p>
          <w:p w14:paraId="08878586" w14:textId="77777777" w:rsidR="004C1FB1" w:rsidRPr="004C1FB1" w:rsidRDefault="004C1FB1" w:rsidP="004C1FB1">
            <w:pPr>
              <w:pStyle w:val="NoSpacing"/>
              <w:numPr>
                <w:ilvl w:val="0"/>
                <w:numId w:val="10"/>
              </w:numPr>
            </w:pPr>
            <w:r w:rsidRPr="004C1FB1">
              <w:t>Summary of</w:t>
            </w:r>
            <w:r>
              <w:t xml:space="preserve"> </w:t>
            </w:r>
            <w:r w:rsidRPr="004C1FB1">
              <w:t>Recommendations on the Gender Sensitive Indicators</w:t>
            </w:r>
          </w:p>
          <w:p w14:paraId="521A213F" w14:textId="77777777" w:rsidR="004C1FB1" w:rsidRPr="004C1FB1" w:rsidRDefault="004C1FB1" w:rsidP="004C1FB1">
            <w:pPr>
              <w:pStyle w:val="NoSpacing"/>
              <w:numPr>
                <w:ilvl w:val="0"/>
                <w:numId w:val="10"/>
              </w:numPr>
            </w:pPr>
            <w:r w:rsidRPr="004C1FB1">
              <w:t>IPV</w:t>
            </w:r>
            <w:r>
              <w:t xml:space="preserve"> </w:t>
            </w:r>
            <w:r w:rsidRPr="004C1FB1">
              <w:t>guidanc</w:t>
            </w:r>
            <w:r>
              <w:t xml:space="preserve">e </w:t>
            </w:r>
            <w:r w:rsidRPr="004C1FB1">
              <w:t>poster/resource book</w:t>
            </w:r>
          </w:p>
          <w:p w14:paraId="5980E07B" w14:textId="77777777" w:rsidR="004F787E" w:rsidRDefault="004F787E" w:rsidP="004C1FB1">
            <w:pPr>
              <w:rPr>
                <w:color w:val="000000"/>
              </w:rPr>
            </w:pPr>
          </w:p>
          <w:p w14:paraId="251FD577" w14:textId="77777777" w:rsidR="004F787E" w:rsidRDefault="004F787E" w:rsidP="004C1FB1">
            <w:pPr>
              <w:rPr>
                <w:color w:val="000000"/>
              </w:rPr>
            </w:pPr>
          </w:p>
          <w:p w14:paraId="13D5FB11" w14:textId="77777777" w:rsidR="004F787E" w:rsidRDefault="004F787E" w:rsidP="004C1FB1">
            <w:pPr>
              <w:rPr>
                <w:color w:val="000000"/>
              </w:rPr>
            </w:pPr>
          </w:p>
          <w:p w14:paraId="09460135" w14:textId="77777777" w:rsidR="004F787E" w:rsidRDefault="004F787E" w:rsidP="004C1FB1">
            <w:pPr>
              <w:rPr>
                <w:color w:val="000000"/>
              </w:rPr>
            </w:pPr>
          </w:p>
          <w:p w14:paraId="3A9133A1" w14:textId="77777777" w:rsidR="004F787E" w:rsidRDefault="004F787E" w:rsidP="004C1FB1">
            <w:pPr>
              <w:rPr>
                <w:color w:val="000000"/>
              </w:rPr>
            </w:pPr>
          </w:p>
          <w:p w14:paraId="2DF93FF6" w14:textId="77777777" w:rsidR="004F787E" w:rsidRDefault="004F787E" w:rsidP="004C1FB1">
            <w:pPr>
              <w:rPr>
                <w:color w:val="000000"/>
              </w:rPr>
            </w:pPr>
          </w:p>
          <w:p w14:paraId="76116823" w14:textId="77777777" w:rsidR="004F787E" w:rsidRDefault="004F787E" w:rsidP="004C1FB1">
            <w:pPr>
              <w:rPr>
                <w:color w:val="000000"/>
              </w:rPr>
            </w:pPr>
          </w:p>
          <w:p w14:paraId="48BF966A" w14:textId="77777777" w:rsidR="004F787E" w:rsidRDefault="004F787E" w:rsidP="004C1FB1">
            <w:pPr>
              <w:rPr>
                <w:color w:val="000000"/>
              </w:rPr>
            </w:pPr>
          </w:p>
          <w:p w14:paraId="33918F03" w14:textId="77777777" w:rsidR="004F787E" w:rsidRDefault="004F787E" w:rsidP="004C1FB1">
            <w:pPr>
              <w:rPr>
                <w:color w:val="000000"/>
              </w:rPr>
            </w:pPr>
          </w:p>
          <w:p w14:paraId="12FC3FD9" w14:textId="686742AC" w:rsidR="004F787E" w:rsidRPr="004F787E" w:rsidRDefault="004F787E" w:rsidP="004C1FB1">
            <w:pPr>
              <w:rPr>
                <w:color w:val="000000"/>
              </w:rPr>
            </w:pPr>
          </w:p>
        </w:tc>
      </w:tr>
      <w:tr w:rsidR="004C1FB1" w14:paraId="6D4834B1" w14:textId="77777777" w:rsidTr="004C1FB1">
        <w:trPr>
          <w:cantSplit/>
          <w:trHeight w:val="4378"/>
        </w:trPr>
        <w:tc>
          <w:tcPr>
            <w:tcW w:w="267" w:type="pct"/>
            <w:shd w:val="clear" w:color="auto" w:fill="D9E2F3"/>
            <w:textDirection w:val="btLr"/>
            <w:vAlign w:val="center"/>
          </w:tcPr>
          <w:p w14:paraId="24725F5B" w14:textId="41E777F8" w:rsidR="004C1FB1" w:rsidRDefault="004C1FB1" w:rsidP="004C1FB1">
            <w:pPr>
              <w:ind w:left="113" w:right="288"/>
              <w:jc w:val="center"/>
              <w:rPr>
                <w:b/>
                <w:sz w:val="28"/>
                <w:szCs w:val="28"/>
              </w:rPr>
            </w:pPr>
            <w:r>
              <w:rPr>
                <w:b/>
                <w:sz w:val="28"/>
                <w:szCs w:val="28"/>
              </w:rPr>
              <w:lastRenderedPageBreak/>
              <w:t>Coordination</w:t>
            </w:r>
          </w:p>
        </w:tc>
        <w:tc>
          <w:tcPr>
            <w:tcW w:w="585" w:type="pct"/>
            <w:shd w:val="clear" w:color="auto" w:fill="D9E2F3"/>
          </w:tcPr>
          <w:p w14:paraId="52C0F841" w14:textId="21A2DF25" w:rsidR="004C1FB1" w:rsidRDefault="004C1FB1">
            <w:pPr>
              <w:rPr>
                <w:color w:val="000000"/>
              </w:rPr>
            </w:pPr>
            <w:r>
              <w:rPr>
                <w:color w:val="000000"/>
              </w:rPr>
              <w:t>3</w:t>
            </w:r>
            <w:r>
              <w:rPr>
                <w:b/>
                <w:color w:val="000000"/>
              </w:rPr>
              <w:t xml:space="preserve">. Enhanced collaboration and coordination for GEWE commitments with civil society, </w:t>
            </w:r>
            <w:proofErr w:type="gramStart"/>
            <w:r>
              <w:rPr>
                <w:b/>
                <w:color w:val="000000"/>
              </w:rPr>
              <w:t>donors</w:t>
            </w:r>
            <w:proofErr w:type="gramEnd"/>
            <w:r>
              <w:rPr>
                <w:b/>
                <w:color w:val="000000"/>
              </w:rPr>
              <w:t xml:space="preserve"> and government through the GTG</w:t>
            </w:r>
          </w:p>
        </w:tc>
        <w:tc>
          <w:tcPr>
            <w:tcW w:w="769" w:type="pct"/>
            <w:shd w:val="clear" w:color="auto" w:fill="D9E2F3"/>
          </w:tcPr>
          <w:p w14:paraId="00574BE3" w14:textId="77777777" w:rsidR="004C1FB1" w:rsidRPr="004C1FB1" w:rsidRDefault="004C1FB1">
            <w:r w:rsidRPr="004C1FB1">
              <w:t xml:space="preserve">3.1 bi-annual meetings with external partners and multi-stakeholders are organized for the purpose of strengthened collaboration and joint contribution to advancement and gender related SDGs localization and/or </w:t>
            </w:r>
            <w:proofErr w:type="gramStart"/>
            <w:r w:rsidRPr="004C1FB1">
              <w:t>implementation</w:t>
            </w:r>
            <w:proofErr w:type="gramEnd"/>
            <w:r w:rsidRPr="004C1FB1">
              <w:t xml:space="preserve">  </w:t>
            </w:r>
          </w:p>
          <w:p w14:paraId="3006F4D8" w14:textId="77777777" w:rsidR="004C1FB1" w:rsidRPr="004C1FB1" w:rsidRDefault="004C1FB1">
            <w:pPr>
              <w:rPr>
                <w:b/>
              </w:rPr>
            </w:pPr>
            <w:r w:rsidRPr="004C1FB1">
              <w:rPr>
                <w:b/>
              </w:rPr>
              <w:t>Target: 2</w:t>
            </w:r>
          </w:p>
          <w:p w14:paraId="15EBD0D9" w14:textId="77777777" w:rsidR="004C1FB1" w:rsidRPr="004C1FB1" w:rsidRDefault="004C1FB1">
            <w:pPr>
              <w:rPr>
                <w:b/>
              </w:rPr>
            </w:pPr>
            <w:r w:rsidRPr="004C1FB1">
              <w:rPr>
                <w:b/>
              </w:rPr>
              <w:t>Baseline: 1</w:t>
            </w:r>
          </w:p>
          <w:p w14:paraId="5000B96B" w14:textId="12B7D68C" w:rsidR="004C1FB1" w:rsidRPr="004C1FB1" w:rsidRDefault="004C1FB1">
            <w:r w:rsidRPr="004C1FB1">
              <w:rPr>
                <w:b/>
              </w:rPr>
              <w:t xml:space="preserve">Source: </w:t>
            </w:r>
            <w:r w:rsidRPr="004C1FB1">
              <w:t>GTG meeting minutes</w:t>
            </w:r>
          </w:p>
        </w:tc>
        <w:tc>
          <w:tcPr>
            <w:tcW w:w="893" w:type="pct"/>
            <w:shd w:val="clear" w:color="auto" w:fill="00B0F0"/>
          </w:tcPr>
          <w:p w14:paraId="31AE77CD" w14:textId="77777777" w:rsidR="004C1FB1" w:rsidRPr="004C1FB1" w:rsidRDefault="004C1FB1">
            <w:pPr>
              <w:keepNext/>
              <w:keepLines/>
              <w:jc w:val="both"/>
            </w:pPr>
            <w:r w:rsidRPr="004C1FB1">
              <w:rPr>
                <w:color w:val="000000"/>
              </w:rPr>
              <w:t xml:space="preserve">3.1.1 Convene meetings with </w:t>
            </w:r>
            <w:r w:rsidRPr="004C1FB1">
              <w:t xml:space="preserve">external partners and multi-stakeholders to strengthened collaboration on GEWE </w:t>
            </w:r>
            <w:proofErr w:type="gramStart"/>
            <w:r w:rsidRPr="004C1FB1">
              <w:t>commitments</w:t>
            </w:r>
            <w:proofErr w:type="gramEnd"/>
            <w:r w:rsidRPr="004C1FB1">
              <w:t xml:space="preserve"> </w:t>
            </w:r>
          </w:p>
          <w:p w14:paraId="0D36BD21" w14:textId="77777777" w:rsidR="004C1FB1" w:rsidRPr="004C1FB1" w:rsidRDefault="004C1FB1">
            <w:pPr>
              <w:keepNext/>
              <w:keepLines/>
              <w:jc w:val="both"/>
            </w:pPr>
          </w:p>
          <w:p w14:paraId="46D6159D" w14:textId="5556721F" w:rsidR="004C1FB1" w:rsidRPr="004C1FB1" w:rsidRDefault="004C1FB1">
            <w:pPr>
              <w:keepNext/>
              <w:keepLines/>
              <w:jc w:val="both"/>
              <w:rPr>
                <w:color w:val="000000"/>
              </w:rPr>
            </w:pPr>
          </w:p>
        </w:tc>
        <w:tc>
          <w:tcPr>
            <w:tcW w:w="338" w:type="pct"/>
            <w:shd w:val="clear" w:color="auto" w:fill="00B0F0"/>
          </w:tcPr>
          <w:p w14:paraId="1E07F66A" w14:textId="5EB6784D" w:rsidR="004C1FB1" w:rsidRPr="004C1FB1" w:rsidRDefault="004C1FB1">
            <w:r w:rsidRPr="004C1FB1">
              <w:t>Q2 and Q4</w:t>
            </w:r>
          </w:p>
        </w:tc>
        <w:tc>
          <w:tcPr>
            <w:tcW w:w="339" w:type="pct"/>
            <w:shd w:val="clear" w:color="auto" w:fill="00B0F0"/>
          </w:tcPr>
          <w:p w14:paraId="3284F3D6" w14:textId="1932125E" w:rsidR="004C1FB1" w:rsidRPr="004C1FB1" w:rsidRDefault="004C1FB1">
            <w:r w:rsidRPr="004C1FB1">
              <w:t>Not required</w:t>
            </w:r>
          </w:p>
        </w:tc>
        <w:tc>
          <w:tcPr>
            <w:tcW w:w="370" w:type="pct"/>
            <w:shd w:val="clear" w:color="auto" w:fill="00B0F0"/>
          </w:tcPr>
          <w:p w14:paraId="318B1C7B" w14:textId="30F7654F" w:rsidR="004C1FB1" w:rsidRPr="004C1FB1" w:rsidRDefault="004C1FB1">
            <w:pPr>
              <w:rPr>
                <w:color w:val="000000"/>
              </w:rPr>
            </w:pPr>
            <w:r w:rsidRPr="004C1FB1">
              <w:rPr>
                <w:color w:val="000000"/>
              </w:rPr>
              <w:t>GTG</w:t>
            </w:r>
          </w:p>
        </w:tc>
        <w:tc>
          <w:tcPr>
            <w:tcW w:w="369" w:type="pct"/>
            <w:shd w:val="clear" w:color="auto" w:fill="00B0F0"/>
          </w:tcPr>
          <w:p w14:paraId="1DF65447" w14:textId="77777777" w:rsidR="004C1FB1" w:rsidRPr="004C1FB1" w:rsidRDefault="004C1FB1">
            <w:pPr>
              <w:rPr>
                <w:color w:val="000000"/>
              </w:rPr>
            </w:pPr>
            <w:r w:rsidRPr="004C1FB1">
              <w:rPr>
                <w:color w:val="000000"/>
              </w:rPr>
              <w:t>GTG co-chairs</w:t>
            </w:r>
          </w:p>
          <w:p w14:paraId="40D055F4" w14:textId="77777777" w:rsidR="004C1FB1" w:rsidRPr="004C1FB1" w:rsidRDefault="004C1FB1">
            <w:pPr>
              <w:rPr>
                <w:color w:val="000000"/>
              </w:rPr>
            </w:pPr>
          </w:p>
        </w:tc>
        <w:tc>
          <w:tcPr>
            <w:tcW w:w="1070" w:type="pct"/>
            <w:shd w:val="clear" w:color="auto" w:fill="00B0F0"/>
          </w:tcPr>
          <w:p w14:paraId="7D44C6C7" w14:textId="77777777" w:rsidR="004C1FB1" w:rsidRPr="004C1FB1" w:rsidRDefault="004C1FB1" w:rsidP="004C1FB1">
            <w:pPr>
              <w:pStyle w:val="ListParagraph"/>
              <w:numPr>
                <w:ilvl w:val="0"/>
                <w:numId w:val="11"/>
              </w:numPr>
              <w:rPr>
                <w:sz w:val="22"/>
                <w:szCs w:val="22"/>
              </w:rPr>
            </w:pPr>
            <w:r w:rsidRPr="004C1FB1">
              <w:rPr>
                <w:sz w:val="22"/>
                <w:szCs w:val="22"/>
              </w:rPr>
              <w:t>1 out of 2 targets</w:t>
            </w:r>
          </w:p>
          <w:p w14:paraId="162F8454" w14:textId="77777777" w:rsidR="004C1FB1" w:rsidRPr="00932197" w:rsidRDefault="004C1FB1" w:rsidP="004C1FB1">
            <w:pPr>
              <w:pStyle w:val="ListParagraph"/>
              <w:numPr>
                <w:ilvl w:val="0"/>
                <w:numId w:val="11"/>
              </w:numPr>
              <w:rPr>
                <w:color w:val="000000"/>
              </w:rPr>
            </w:pPr>
            <w:r w:rsidRPr="004C1FB1">
              <w:rPr>
                <w:sz w:val="22"/>
                <w:szCs w:val="22"/>
              </w:rPr>
              <w:t xml:space="preserve">IDAHOT day celebration- zoom dialogue with LGBTIQ and with support from GTG the </w:t>
            </w:r>
            <w:proofErr w:type="gramStart"/>
            <w:r w:rsidRPr="004C1FB1">
              <w:rPr>
                <w:sz w:val="22"/>
                <w:szCs w:val="22"/>
              </w:rPr>
              <w:t>HRTG</w:t>
            </w:r>
            <w:proofErr w:type="gramEnd"/>
          </w:p>
          <w:p w14:paraId="137E3F1F" w14:textId="4C6A1FBC" w:rsidR="00932197" w:rsidRPr="004C1FB1" w:rsidRDefault="00932197" w:rsidP="004C1FB1">
            <w:pPr>
              <w:pStyle w:val="ListParagraph"/>
              <w:numPr>
                <w:ilvl w:val="0"/>
                <w:numId w:val="11"/>
              </w:numPr>
              <w:rPr>
                <w:color w:val="000000"/>
              </w:rPr>
            </w:pPr>
            <w:r>
              <w:rPr>
                <w:color w:val="000000"/>
              </w:rPr>
              <w:t>It was agreed to convene a CSO and GTG meeting in December 2020 and use the outcomes of exchange for the planning of the GTG AWP 2021</w:t>
            </w:r>
          </w:p>
        </w:tc>
      </w:tr>
      <w:tr w:rsidR="004C1FB1" w14:paraId="5A5C0D6F" w14:textId="722A2C50" w:rsidTr="004C1FB1">
        <w:trPr>
          <w:cantSplit/>
          <w:trHeight w:val="4378"/>
        </w:trPr>
        <w:tc>
          <w:tcPr>
            <w:tcW w:w="267" w:type="pct"/>
            <w:shd w:val="clear" w:color="auto" w:fill="D9E2F3"/>
            <w:textDirection w:val="btLr"/>
            <w:vAlign w:val="center"/>
          </w:tcPr>
          <w:p w14:paraId="09716451" w14:textId="232D6DAD" w:rsidR="004C1FB1" w:rsidRDefault="004C1FB1" w:rsidP="004F787E">
            <w:pPr>
              <w:ind w:left="113" w:right="288"/>
              <w:jc w:val="center"/>
              <w:rPr>
                <w:b/>
                <w:sz w:val="28"/>
                <w:szCs w:val="28"/>
              </w:rPr>
            </w:pPr>
            <w:r>
              <w:rPr>
                <w:b/>
                <w:sz w:val="28"/>
                <w:szCs w:val="28"/>
              </w:rPr>
              <w:lastRenderedPageBreak/>
              <w:t xml:space="preserve">Operational efficiency and Financing </w:t>
            </w:r>
          </w:p>
        </w:tc>
        <w:tc>
          <w:tcPr>
            <w:tcW w:w="585" w:type="pct"/>
            <w:shd w:val="clear" w:color="auto" w:fill="D9E2F3"/>
          </w:tcPr>
          <w:p w14:paraId="5E221E03" w14:textId="08C38E21" w:rsidR="004C1FB1" w:rsidRDefault="004C1FB1">
            <w:pPr>
              <w:rPr>
                <w:color w:val="000000"/>
              </w:rPr>
            </w:pPr>
            <w:r>
              <w:rPr>
                <w:b/>
                <w:color w:val="000000"/>
              </w:rPr>
              <w:t xml:space="preserve">4. The GTG is operational and effectively provides </w:t>
            </w:r>
            <w:r>
              <w:rPr>
                <w:b/>
              </w:rPr>
              <w:t>coordinated support to UNCT</w:t>
            </w:r>
          </w:p>
        </w:tc>
        <w:tc>
          <w:tcPr>
            <w:tcW w:w="769" w:type="pct"/>
            <w:shd w:val="clear" w:color="auto" w:fill="D9E2F3"/>
          </w:tcPr>
          <w:p w14:paraId="41C51D25" w14:textId="77777777" w:rsidR="004C1FB1" w:rsidRDefault="004C1FB1">
            <w:pPr>
              <w:rPr>
                <w:b/>
              </w:rPr>
            </w:pPr>
            <w:r>
              <w:t xml:space="preserve">4.1 GTG meetings organized every six </w:t>
            </w:r>
            <w:proofErr w:type="gramStart"/>
            <w:r>
              <w:t>weeks</w:t>
            </w:r>
            <w:proofErr w:type="gramEnd"/>
          </w:p>
          <w:p w14:paraId="41FBEE6E" w14:textId="77777777" w:rsidR="004C1FB1" w:rsidRDefault="004C1FB1">
            <w:pPr>
              <w:rPr>
                <w:b/>
              </w:rPr>
            </w:pPr>
            <w:r>
              <w:rPr>
                <w:b/>
              </w:rPr>
              <w:t xml:space="preserve">Target: </w:t>
            </w:r>
            <w:r>
              <w:t>8 in 2020</w:t>
            </w:r>
          </w:p>
          <w:p w14:paraId="78F6D191" w14:textId="77777777" w:rsidR="004C1FB1" w:rsidRDefault="004C1FB1">
            <w:pPr>
              <w:rPr>
                <w:b/>
              </w:rPr>
            </w:pPr>
            <w:r>
              <w:rPr>
                <w:b/>
              </w:rPr>
              <w:t xml:space="preserve">Baseline: </w:t>
            </w:r>
            <w:r>
              <w:t>7 in 2019</w:t>
            </w:r>
          </w:p>
          <w:p w14:paraId="2FD29F30" w14:textId="77777777" w:rsidR="004C1FB1" w:rsidRDefault="004C1FB1">
            <w:pPr>
              <w:rPr>
                <w:b/>
              </w:rPr>
            </w:pPr>
            <w:r>
              <w:rPr>
                <w:b/>
              </w:rPr>
              <w:t xml:space="preserve">Source: </w:t>
            </w:r>
            <w:r>
              <w:t>GTG Meeting minutes</w:t>
            </w:r>
            <w:r>
              <w:rPr>
                <w:b/>
              </w:rPr>
              <w:t xml:space="preserve">                                      </w:t>
            </w:r>
          </w:p>
          <w:p w14:paraId="3E31C37D" w14:textId="77777777" w:rsidR="004C1FB1" w:rsidRDefault="004C1FB1">
            <w:pPr>
              <w:rPr>
                <w:b/>
              </w:rPr>
            </w:pPr>
          </w:p>
          <w:p w14:paraId="16255E17" w14:textId="77777777" w:rsidR="004C1FB1" w:rsidRDefault="004C1FB1">
            <w:pPr>
              <w:rPr>
                <w:b/>
              </w:rPr>
            </w:pPr>
          </w:p>
          <w:p w14:paraId="32975D5E" w14:textId="77777777" w:rsidR="004C1FB1" w:rsidRDefault="004C1FB1">
            <w:pPr>
              <w:rPr>
                <w:b/>
              </w:rPr>
            </w:pPr>
          </w:p>
          <w:p w14:paraId="73E59DC9" w14:textId="77777777" w:rsidR="004C1FB1" w:rsidRDefault="004C1FB1">
            <w:pPr>
              <w:rPr>
                <w:b/>
              </w:rPr>
            </w:pPr>
          </w:p>
          <w:p w14:paraId="4AE32287" w14:textId="47964ECB" w:rsidR="004C1FB1" w:rsidRDefault="004C1FB1">
            <w:pPr>
              <w:rPr>
                <w:b/>
              </w:rPr>
            </w:pPr>
          </w:p>
          <w:p w14:paraId="6C59AE77" w14:textId="4786FA93" w:rsidR="007D461B" w:rsidRDefault="007D461B">
            <w:pPr>
              <w:rPr>
                <w:b/>
              </w:rPr>
            </w:pPr>
          </w:p>
          <w:p w14:paraId="2047B03F" w14:textId="7941285D" w:rsidR="007D461B" w:rsidRDefault="007D461B">
            <w:pPr>
              <w:rPr>
                <w:b/>
              </w:rPr>
            </w:pPr>
          </w:p>
          <w:p w14:paraId="53B682ED" w14:textId="1BC9A3C7" w:rsidR="007D461B" w:rsidRDefault="007D461B">
            <w:pPr>
              <w:rPr>
                <w:b/>
              </w:rPr>
            </w:pPr>
          </w:p>
          <w:p w14:paraId="219CCF6E" w14:textId="17CE630A" w:rsidR="007D461B" w:rsidRDefault="007D461B">
            <w:pPr>
              <w:rPr>
                <w:b/>
              </w:rPr>
            </w:pPr>
          </w:p>
          <w:p w14:paraId="63BA3353" w14:textId="77777777" w:rsidR="007D461B" w:rsidRDefault="007D461B">
            <w:pPr>
              <w:rPr>
                <w:b/>
              </w:rPr>
            </w:pPr>
          </w:p>
          <w:p w14:paraId="06B06E49" w14:textId="77777777" w:rsidR="004C1FB1" w:rsidRDefault="004C1FB1">
            <w:pPr>
              <w:rPr>
                <w:b/>
              </w:rPr>
            </w:pPr>
          </w:p>
          <w:p w14:paraId="3983A6CF" w14:textId="77777777" w:rsidR="004C1FB1" w:rsidRDefault="004C1FB1">
            <w:r>
              <w:t xml:space="preserve">4. 2 GTG work plan 2020 developed, costed for and implemented through joint </w:t>
            </w:r>
            <w:proofErr w:type="gramStart"/>
            <w:r>
              <w:t>action</w:t>
            </w:r>
            <w:proofErr w:type="gramEnd"/>
            <w:r>
              <w:t xml:space="preserve">    </w:t>
            </w:r>
          </w:p>
          <w:p w14:paraId="0AA32733" w14:textId="77777777" w:rsidR="004C1FB1" w:rsidRDefault="004C1FB1">
            <w:pPr>
              <w:rPr>
                <w:b/>
              </w:rPr>
            </w:pPr>
            <w:r>
              <w:rPr>
                <w:b/>
              </w:rPr>
              <w:t xml:space="preserve">Target: </w:t>
            </w:r>
            <w:r>
              <w:t>yes in 2020</w:t>
            </w:r>
          </w:p>
          <w:p w14:paraId="30237465" w14:textId="77777777" w:rsidR="004C1FB1" w:rsidRDefault="004C1FB1">
            <w:pPr>
              <w:rPr>
                <w:b/>
              </w:rPr>
            </w:pPr>
            <w:r>
              <w:rPr>
                <w:b/>
              </w:rPr>
              <w:t xml:space="preserve">Baseline:  </w:t>
            </w:r>
            <w:r>
              <w:t xml:space="preserve">yes in 2019, no budget allocated   </w:t>
            </w:r>
          </w:p>
          <w:p w14:paraId="5B350841" w14:textId="77777777" w:rsidR="004C1FB1" w:rsidRDefault="004C1FB1">
            <w:pPr>
              <w:rPr>
                <w:b/>
              </w:rPr>
            </w:pPr>
            <w:r>
              <w:rPr>
                <w:b/>
              </w:rPr>
              <w:t xml:space="preserve">Source: </w:t>
            </w:r>
            <w:r>
              <w:t>GTG AWP 2019</w:t>
            </w:r>
          </w:p>
          <w:p w14:paraId="3DCB92D2" w14:textId="51303744" w:rsidR="004C1FB1" w:rsidRDefault="004C1FB1">
            <w:pPr>
              <w:rPr>
                <w:b/>
              </w:rPr>
            </w:pPr>
          </w:p>
        </w:tc>
        <w:tc>
          <w:tcPr>
            <w:tcW w:w="893" w:type="pct"/>
            <w:shd w:val="clear" w:color="auto" w:fill="00B0F0"/>
          </w:tcPr>
          <w:p w14:paraId="07E97B15" w14:textId="77777777" w:rsidR="004C1FB1" w:rsidRPr="004C1FB1" w:rsidRDefault="004C1FB1">
            <w:pPr>
              <w:keepNext/>
              <w:keepLines/>
              <w:jc w:val="both"/>
              <w:rPr>
                <w:color w:val="000000"/>
              </w:rPr>
            </w:pPr>
            <w:r w:rsidRPr="004C1FB1">
              <w:rPr>
                <w:color w:val="000000"/>
              </w:rPr>
              <w:t xml:space="preserve">4.1.1 </w:t>
            </w:r>
            <w:r w:rsidRPr="004C1FB1">
              <w:t>GTG</w:t>
            </w:r>
            <w:r w:rsidRPr="004C1FB1">
              <w:rPr>
                <w:color w:val="000000"/>
              </w:rPr>
              <w:t xml:space="preserve"> conducts meetings periodically every six weeks, or as needed at ad-hoc basis, to review progress of activities under the annual work plan and revise </w:t>
            </w:r>
            <w:proofErr w:type="gramStart"/>
            <w:r w:rsidRPr="004C1FB1">
              <w:rPr>
                <w:color w:val="000000"/>
              </w:rPr>
              <w:t>accordingly</w:t>
            </w:r>
            <w:proofErr w:type="gramEnd"/>
          </w:p>
          <w:p w14:paraId="23239C90" w14:textId="77777777" w:rsidR="004C1FB1" w:rsidRPr="004C1FB1" w:rsidRDefault="004C1FB1">
            <w:pPr>
              <w:keepNext/>
              <w:keepLines/>
              <w:jc w:val="both"/>
              <w:rPr>
                <w:color w:val="000000"/>
              </w:rPr>
            </w:pPr>
          </w:p>
          <w:p w14:paraId="283A022D" w14:textId="77777777" w:rsidR="004C1FB1" w:rsidRPr="004C1FB1" w:rsidRDefault="004C1FB1">
            <w:pPr>
              <w:keepNext/>
              <w:keepLines/>
              <w:jc w:val="both"/>
              <w:rPr>
                <w:color w:val="000000"/>
              </w:rPr>
            </w:pPr>
            <w:r w:rsidRPr="004C1FB1">
              <w:rPr>
                <w:color w:val="000000"/>
              </w:rPr>
              <w:t xml:space="preserve">4.1.2 Co-chairs and GTG secretariat share information regularly and stimulate joint actions among GTG </w:t>
            </w:r>
            <w:proofErr w:type="gramStart"/>
            <w:r w:rsidRPr="004C1FB1">
              <w:rPr>
                <w:color w:val="000000"/>
              </w:rPr>
              <w:t>members</w:t>
            </w:r>
            <w:proofErr w:type="gramEnd"/>
          </w:p>
          <w:p w14:paraId="54724539" w14:textId="77777777" w:rsidR="004C1FB1" w:rsidRPr="004C1FB1" w:rsidRDefault="004C1FB1">
            <w:pPr>
              <w:keepNext/>
              <w:keepLines/>
              <w:jc w:val="both"/>
              <w:rPr>
                <w:color w:val="000000"/>
              </w:rPr>
            </w:pPr>
          </w:p>
          <w:p w14:paraId="3ED6837C" w14:textId="77777777" w:rsidR="004C1FB1" w:rsidRPr="004C1FB1" w:rsidRDefault="004C1FB1">
            <w:pPr>
              <w:keepNext/>
              <w:keepLines/>
              <w:jc w:val="both"/>
              <w:rPr>
                <w:color w:val="000000"/>
              </w:rPr>
            </w:pPr>
          </w:p>
          <w:p w14:paraId="467EF57A" w14:textId="77777777" w:rsidR="004C1FB1" w:rsidRPr="004C1FB1" w:rsidRDefault="004C1FB1">
            <w:pPr>
              <w:keepNext/>
              <w:keepLines/>
              <w:jc w:val="both"/>
              <w:rPr>
                <w:color w:val="000000"/>
              </w:rPr>
            </w:pPr>
          </w:p>
          <w:p w14:paraId="0F9C2376" w14:textId="77777777" w:rsidR="004C1FB1" w:rsidRPr="004C1FB1" w:rsidRDefault="004C1FB1">
            <w:pPr>
              <w:keepNext/>
              <w:keepLines/>
              <w:jc w:val="both"/>
              <w:rPr>
                <w:color w:val="000000"/>
              </w:rPr>
            </w:pPr>
            <w:r w:rsidRPr="004C1FB1">
              <w:rPr>
                <w:color w:val="000000"/>
              </w:rPr>
              <w:t>4.2.1</w:t>
            </w:r>
            <w:r w:rsidRPr="004C1FB1">
              <w:t xml:space="preserve"> </w:t>
            </w:r>
            <w:r w:rsidRPr="004C1FB1">
              <w:rPr>
                <w:color w:val="000000"/>
              </w:rPr>
              <w:t>GTG Secretariat support the development of annual work plan in consultation with GTG members and guidance form co-</w:t>
            </w:r>
            <w:proofErr w:type="gramStart"/>
            <w:r w:rsidRPr="004C1FB1">
              <w:rPr>
                <w:color w:val="000000"/>
              </w:rPr>
              <w:t>chairs</w:t>
            </w:r>
            <w:proofErr w:type="gramEnd"/>
            <w:r w:rsidRPr="004C1FB1">
              <w:rPr>
                <w:color w:val="000000"/>
              </w:rPr>
              <w:t xml:space="preserve"> </w:t>
            </w:r>
          </w:p>
          <w:p w14:paraId="74092D0C" w14:textId="77777777" w:rsidR="004C1FB1" w:rsidRPr="004C1FB1" w:rsidRDefault="004C1FB1">
            <w:pPr>
              <w:keepNext/>
              <w:keepLines/>
              <w:jc w:val="both"/>
              <w:rPr>
                <w:color w:val="000000"/>
              </w:rPr>
            </w:pPr>
          </w:p>
          <w:p w14:paraId="1F1214A1" w14:textId="77777777" w:rsidR="004C1FB1" w:rsidRPr="004C1FB1" w:rsidRDefault="004C1FB1">
            <w:pPr>
              <w:keepNext/>
              <w:keepLines/>
              <w:jc w:val="both"/>
              <w:rPr>
                <w:color w:val="000000"/>
              </w:rPr>
            </w:pPr>
            <w:r w:rsidRPr="004C1FB1">
              <w:rPr>
                <w:color w:val="000000"/>
              </w:rPr>
              <w:t>4.2.2 Co-chairs and GTG Secretariat provide budget baseline for the joint implementation of the costed activities in the GTG AWP 2020</w:t>
            </w:r>
          </w:p>
          <w:p w14:paraId="13AE344A" w14:textId="77777777" w:rsidR="004C1FB1" w:rsidRPr="004C1FB1" w:rsidRDefault="004C1FB1">
            <w:pPr>
              <w:keepNext/>
              <w:keepLines/>
              <w:jc w:val="both"/>
              <w:rPr>
                <w:color w:val="000000"/>
              </w:rPr>
            </w:pPr>
          </w:p>
          <w:p w14:paraId="21F2CC95" w14:textId="1C8A7CFB" w:rsidR="004C1FB1" w:rsidRPr="004C1FB1" w:rsidRDefault="004C1FB1" w:rsidP="004C1FB1">
            <w:pPr>
              <w:keepNext/>
              <w:keepLines/>
              <w:jc w:val="both"/>
            </w:pPr>
          </w:p>
        </w:tc>
        <w:tc>
          <w:tcPr>
            <w:tcW w:w="338" w:type="pct"/>
            <w:shd w:val="clear" w:color="auto" w:fill="00B0F0"/>
          </w:tcPr>
          <w:p w14:paraId="5978137A" w14:textId="77777777" w:rsidR="004C1FB1" w:rsidRPr="004C1FB1" w:rsidRDefault="004C1FB1">
            <w:r w:rsidRPr="004C1FB1">
              <w:t>Q1 – Q4 2020</w:t>
            </w:r>
          </w:p>
          <w:p w14:paraId="6E901811" w14:textId="77777777" w:rsidR="004C1FB1" w:rsidRPr="004C1FB1" w:rsidRDefault="004C1FB1"/>
          <w:p w14:paraId="28F841D5" w14:textId="77777777" w:rsidR="004C1FB1" w:rsidRPr="004C1FB1" w:rsidRDefault="004C1FB1"/>
          <w:p w14:paraId="57025362" w14:textId="77777777" w:rsidR="004C1FB1" w:rsidRPr="004C1FB1" w:rsidRDefault="004C1FB1"/>
          <w:p w14:paraId="0F45A9A0" w14:textId="5FDFC286" w:rsidR="004C1FB1" w:rsidRPr="004C1FB1" w:rsidRDefault="004C1FB1"/>
          <w:p w14:paraId="26366AC5" w14:textId="10AAC41D" w:rsidR="004C1FB1" w:rsidRPr="004C1FB1" w:rsidRDefault="004C1FB1"/>
          <w:p w14:paraId="02323706" w14:textId="77777777" w:rsidR="004C1FB1" w:rsidRPr="004C1FB1" w:rsidRDefault="004C1FB1"/>
          <w:p w14:paraId="7E891C7D" w14:textId="77777777" w:rsidR="004C1FB1" w:rsidRPr="004C1FB1" w:rsidRDefault="004C1FB1"/>
          <w:p w14:paraId="6D16DE8B" w14:textId="77777777" w:rsidR="004C1FB1" w:rsidRPr="004C1FB1" w:rsidRDefault="004C1FB1">
            <w:r w:rsidRPr="004C1FB1">
              <w:t>Q1 – Q4 2020</w:t>
            </w:r>
          </w:p>
          <w:p w14:paraId="21647382" w14:textId="77777777" w:rsidR="004C1FB1" w:rsidRPr="004C1FB1" w:rsidRDefault="004C1FB1"/>
          <w:p w14:paraId="25B00331" w14:textId="77777777" w:rsidR="004C1FB1" w:rsidRPr="004C1FB1" w:rsidRDefault="004C1FB1"/>
          <w:p w14:paraId="6C7734C8" w14:textId="77777777" w:rsidR="004C1FB1" w:rsidRPr="004C1FB1" w:rsidRDefault="004C1FB1"/>
          <w:p w14:paraId="3430CF86" w14:textId="77777777" w:rsidR="004C1FB1" w:rsidRPr="004C1FB1" w:rsidRDefault="004C1FB1"/>
          <w:p w14:paraId="4F960CB0" w14:textId="77777777" w:rsidR="004C1FB1" w:rsidRPr="004C1FB1" w:rsidRDefault="004C1FB1"/>
          <w:p w14:paraId="4A71A0F1" w14:textId="77777777" w:rsidR="004C1FB1" w:rsidRPr="004C1FB1" w:rsidRDefault="004C1FB1"/>
          <w:p w14:paraId="043811B3" w14:textId="77777777" w:rsidR="004C1FB1" w:rsidRPr="004C1FB1" w:rsidRDefault="004C1FB1">
            <w:r w:rsidRPr="004C1FB1">
              <w:t>Q1 – Q4 2020</w:t>
            </w:r>
          </w:p>
          <w:p w14:paraId="760BB2D3" w14:textId="77777777" w:rsidR="004C1FB1" w:rsidRPr="004C1FB1" w:rsidRDefault="004C1FB1"/>
          <w:p w14:paraId="39D84EB3" w14:textId="77777777" w:rsidR="004C1FB1" w:rsidRPr="004C1FB1" w:rsidRDefault="004C1FB1"/>
          <w:p w14:paraId="3A500138" w14:textId="13CACB9D" w:rsidR="004C1FB1" w:rsidRPr="004C1FB1" w:rsidRDefault="004C1FB1"/>
          <w:p w14:paraId="65F1F3BD" w14:textId="77777777" w:rsidR="004C1FB1" w:rsidRPr="004C1FB1" w:rsidRDefault="004C1FB1"/>
          <w:p w14:paraId="2A4B932B" w14:textId="77777777" w:rsidR="004C1FB1" w:rsidRPr="004C1FB1" w:rsidRDefault="004C1FB1"/>
          <w:p w14:paraId="30599996" w14:textId="77777777" w:rsidR="004C1FB1" w:rsidRPr="004C1FB1" w:rsidRDefault="004C1FB1">
            <w:r w:rsidRPr="004C1FB1">
              <w:t>Q1 – Q4 2020</w:t>
            </w:r>
          </w:p>
          <w:p w14:paraId="7A9F4279" w14:textId="1D18BF85" w:rsidR="004C1FB1" w:rsidRPr="004C1FB1" w:rsidRDefault="004C1FB1"/>
        </w:tc>
        <w:tc>
          <w:tcPr>
            <w:tcW w:w="339" w:type="pct"/>
            <w:shd w:val="clear" w:color="auto" w:fill="00B0F0"/>
          </w:tcPr>
          <w:p w14:paraId="75BB75D2" w14:textId="77777777" w:rsidR="004C1FB1" w:rsidRPr="004C1FB1" w:rsidRDefault="004C1FB1">
            <w:r w:rsidRPr="004C1FB1">
              <w:t>Petty cash for refreshments</w:t>
            </w:r>
          </w:p>
          <w:p w14:paraId="33A3E4AA" w14:textId="77777777" w:rsidR="004C1FB1" w:rsidRPr="004C1FB1" w:rsidRDefault="004C1FB1"/>
          <w:p w14:paraId="31880C79" w14:textId="5B759448" w:rsidR="004C1FB1" w:rsidRPr="004C1FB1" w:rsidRDefault="004C1FB1"/>
          <w:p w14:paraId="48C6635A" w14:textId="7DDE5254" w:rsidR="004C1FB1" w:rsidRPr="004C1FB1" w:rsidRDefault="004C1FB1"/>
          <w:p w14:paraId="55094A2A" w14:textId="77777777" w:rsidR="004C1FB1" w:rsidRPr="004C1FB1" w:rsidRDefault="004C1FB1"/>
          <w:p w14:paraId="4B535912" w14:textId="77777777" w:rsidR="004C1FB1" w:rsidRPr="004C1FB1" w:rsidRDefault="004C1FB1"/>
          <w:p w14:paraId="578CDC95" w14:textId="77777777" w:rsidR="004C1FB1" w:rsidRPr="004C1FB1" w:rsidRDefault="004C1FB1">
            <w:r w:rsidRPr="004C1FB1">
              <w:t>Not required</w:t>
            </w:r>
          </w:p>
          <w:p w14:paraId="51F72030" w14:textId="77777777" w:rsidR="004C1FB1" w:rsidRPr="004C1FB1" w:rsidRDefault="004C1FB1"/>
          <w:p w14:paraId="109AA609" w14:textId="77777777" w:rsidR="004C1FB1" w:rsidRPr="004C1FB1" w:rsidRDefault="004C1FB1"/>
          <w:p w14:paraId="17E05D85" w14:textId="77777777" w:rsidR="004C1FB1" w:rsidRPr="004C1FB1" w:rsidRDefault="004C1FB1"/>
          <w:p w14:paraId="15707E47" w14:textId="77777777" w:rsidR="004C1FB1" w:rsidRPr="004C1FB1" w:rsidRDefault="004C1FB1"/>
          <w:p w14:paraId="17A91DCC" w14:textId="77777777" w:rsidR="004C1FB1" w:rsidRPr="004C1FB1" w:rsidRDefault="004C1FB1"/>
          <w:p w14:paraId="4DE8D0D5" w14:textId="77777777" w:rsidR="004C1FB1" w:rsidRPr="004C1FB1" w:rsidRDefault="004C1FB1"/>
          <w:p w14:paraId="77A05E48" w14:textId="77777777" w:rsidR="004C1FB1" w:rsidRPr="004C1FB1" w:rsidRDefault="004C1FB1">
            <w:r w:rsidRPr="004C1FB1">
              <w:t>Not required</w:t>
            </w:r>
          </w:p>
          <w:p w14:paraId="5E4DE75E" w14:textId="77777777" w:rsidR="004C1FB1" w:rsidRPr="004C1FB1" w:rsidRDefault="004C1FB1"/>
          <w:p w14:paraId="6DB1DAAF" w14:textId="77777777" w:rsidR="004C1FB1" w:rsidRPr="004C1FB1" w:rsidRDefault="004C1FB1"/>
          <w:p w14:paraId="5B1F6E19" w14:textId="77777777" w:rsidR="004C1FB1" w:rsidRPr="004C1FB1" w:rsidRDefault="004C1FB1"/>
          <w:p w14:paraId="5FCF9F1B" w14:textId="77777777" w:rsidR="004C1FB1" w:rsidRPr="004C1FB1" w:rsidRDefault="004C1FB1"/>
          <w:p w14:paraId="3B17A979" w14:textId="77777777" w:rsidR="004C1FB1" w:rsidRPr="004C1FB1" w:rsidRDefault="004C1FB1"/>
          <w:p w14:paraId="15CD588F" w14:textId="77777777" w:rsidR="004C1FB1" w:rsidRPr="004C1FB1" w:rsidRDefault="004C1FB1">
            <w:r w:rsidRPr="004C1FB1">
              <w:t>TBD</w:t>
            </w:r>
          </w:p>
          <w:p w14:paraId="01CB1203" w14:textId="77777777" w:rsidR="004C1FB1" w:rsidRPr="004C1FB1" w:rsidRDefault="004C1FB1"/>
          <w:p w14:paraId="4AC60DB3" w14:textId="7865D579" w:rsidR="004C1FB1" w:rsidRPr="004C1FB1" w:rsidRDefault="004C1FB1"/>
        </w:tc>
        <w:tc>
          <w:tcPr>
            <w:tcW w:w="370" w:type="pct"/>
            <w:shd w:val="clear" w:color="auto" w:fill="00B0F0"/>
          </w:tcPr>
          <w:p w14:paraId="24290949" w14:textId="77777777" w:rsidR="004C1FB1" w:rsidRPr="004C1FB1" w:rsidRDefault="004C1FB1">
            <w:pPr>
              <w:rPr>
                <w:color w:val="000000"/>
              </w:rPr>
            </w:pPr>
            <w:r w:rsidRPr="004C1FB1">
              <w:rPr>
                <w:color w:val="000000"/>
              </w:rPr>
              <w:t>GTG</w:t>
            </w:r>
          </w:p>
          <w:p w14:paraId="5555F5A8" w14:textId="77777777" w:rsidR="004C1FB1" w:rsidRPr="004C1FB1" w:rsidRDefault="004C1FB1">
            <w:pPr>
              <w:rPr>
                <w:color w:val="000000"/>
              </w:rPr>
            </w:pPr>
          </w:p>
          <w:p w14:paraId="5DBE1A73" w14:textId="77777777" w:rsidR="004C1FB1" w:rsidRPr="004C1FB1" w:rsidRDefault="004C1FB1">
            <w:pPr>
              <w:rPr>
                <w:color w:val="000000"/>
              </w:rPr>
            </w:pPr>
          </w:p>
          <w:p w14:paraId="6109A79C" w14:textId="77777777" w:rsidR="004C1FB1" w:rsidRPr="004C1FB1" w:rsidRDefault="004C1FB1">
            <w:pPr>
              <w:rPr>
                <w:color w:val="000000"/>
              </w:rPr>
            </w:pPr>
          </w:p>
          <w:p w14:paraId="4A6FF2D9" w14:textId="606F0B97" w:rsidR="004C1FB1" w:rsidRPr="004C1FB1" w:rsidRDefault="004C1FB1">
            <w:pPr>
              <w:rPr>
                <w:color w:val="000000"/>
              </w:rPr>
            </w:pPr>
          </w:p>
          <w:p w14:paraId="1F1C93FF" w14:textId="266665F2" w:rsidR="004C1FB1" w:rsidRPr="004C1FB1" w:rsidRDefault="004C1FB1">
            <w:pPr>
              <w:rPr>
                <w:color w:val="000000"/>
              </w:rPr>
            </w:pPr>
          </w:p>
          <w:p w14:paraId="4161B341" w14:textId="5C26A33F" w:rsidR="004C1FB1" w:rsidRPr="004C1FB1" w:rsidRDefault="004C1FB1">
            <w:pPr>
              <w:rPr>
                <w:color w:val="000000"/>
              </w:rPr>
            </w:pPr>
          </w:p>
          <w:p w14:paraId="51519189" w14:textId="77777777" w:rsidR="004C1FB1" w:rsidRPr="004C1FB1" w:rsidRDefault="004C1FB1">
            <w:pPr>
              <w:rPr>
                <w:color w:val="000000"/>
              </w:rPr>
            </w:pPr>
          </w:p>
          <w:p w14:paraId="43C44D3E" w14:textId="77777777" w:rsidR="004C1FB1" w:rsidRPr="004C1FB1" w:rsidRDefault="004C1FB1">
            <w:pPr>
              <w:rPr>
                <w:color w:val="000000"/>
              </w:rPr>
            </w:pPr>
          </w:p>
          <w:p w14:paraId="5CD41844" w14:textId="77777777" w:rsidR="004C1FB1" w:rsidRPr="004C1FB1" w:rsidRDefault="004C1FB1">
            <w:pPr>
              <w:rPr>
                <w:color w:val="000000"/>
              </w:rPr>
            </w:pPr>
            <w:r w:rsidRPr="004C1FB1">
              <w:rPr>
                <w:color w:val="000000"/>
              </w:rPr>
              <w:t>GTG</w:t>
            </w:r>
          </w:p>
          <w:p w14:paraId="4FB3D340" w14:textId="77777777" w:rsidR="004C1FB1" w:rsidRPr="004C1FB1" w:rsidRDefault="004C1FB1">
            <w:pPr>
              <w:rPr>
                <w:color w:val="000000"/>
              </w:rPr>
            </w:pPr>
          </w:p>
          <w:p w14:paraId="40BC2354" w14:textId="77777777" w:rsidR="004C1FB1" w:rsidRPr="004C1FB1" w:rsidRDefault="004C1FB1">
            <w:pPr>
              <w:rPr>
                <w:color w:val="000000"/>
              </w:rPr>
            </w:pPr>
          </w:p>
          <w:p w14:paraId="0CA428A2" w14:textId="77777777" w:rsidR="004C1FB1" w:rsidRPr="004C1FB1" w:rsidRDefault="004C1FB1">
            <w:pPr>
              <w:rPr>
                <w:color w:val="000000"/>
              </w:rPr>
            </w:pPr>
          </w:p>
          <w:p w14:paraId="10B77D89" w14:textId="77777777" w:rsidR="004C1FB1" w:rsidRPr="004C1FB1" w:rsidRDefault="004C1FB1">
            <w:pPr>
              <w:rPr>
                <w:color w:val="000000"/>
              </w:rPr>
            </w:pPr>
          </w:p>
          <w:p w14:paraId="40336BD3" w14:textId="22E82CDE" w:rsidR="004C1FB1" w:rsidRPr="004C1FB1" w:rsidRDefault="004C1FB1">
            <w:pPr>
              <w:rPr>
                <w:color w:val="000000"/>
              </w:rPr>
            </w:pPr>
          </w:p>
          <w:p w14:paraId="400DFB3E" w14:textId="736C5502" w:rsidR="004C1FB1" w:rsidRPr="004C1FB1" w:rsidRDefault="004C1FB1">
            <w:pPr>
              <w:rPr>
                <w:color w:val="000000"/>
              </w:rPr>
            </w:pPr>
          </w:p>
          <w:p w14:paraId="1E06259D" w14:textId="77777777" w:rsidR="004C1FB1" w:rsidRPr="004C1FB1" w:rsidRDefault="004C1FB1">
            <w:pPr>
              <w:rPr>
                <w:color w:val="000000"/>
              </w:rPr>
            </w:pPr>
          </w:p>
          <w:p w14:paraId="0FBC5A44" w14:textId="77777777" w:rsidR="004C1FB1" w:rsidRPr="004C1FB1" w:rsidRDefault="004C1FB1">
            <w:pPr>
              <w:rPr>
                <w:color w:val="000000"/>
              </w:rPr>
            </w:pPr>
            <w:r w:rsidRPr="004C1FB1">
              <w:rPr>
                <w:color w:val="000000"/>
              </w:rPr>
              <w:t>GTG</w:t>
            </w:r>
          </w:p>
          <w:p w14:paraId="47DFA9A9" w14:textId="77777777" w:rsidR="004C1FB1" w:rsidRPr="004C1FB1" w:rsidRDefault="004C1FB1">
            <w:pPr>
              <w:rPr>
                <w:color w:val="000000"/>
              </w:rPr>
            </w:pPr>
          </w:p>
          <w:p w14:paraId="6A7C92C1" w14:textId="77777777" w:rsidR="004C1FB1" w:rsidRPr="004C1FB1" w:rsidRDefault="004C1FB1">
            <w:pPr>
              <w:rPr>
                <w:color w:val="000000"/>
              </w:rPr>
            </w:pPr>
          </w:p>
          <w:p w14:paraId="4816F890" w14:textId="77777777" w:rsidR="004C1FB1" w:rsidRPr="004C1FB1" w:rsidRDefault="004C1FB1">
            <w:pPr>
              <w:rPr>
                <w:color w:val="000000"/>
              </w:rPr>
            </w:pPr>
          </w:p>
          <w:p w14:paraId="344A8F38" w14:textId="0E209239" w:rsidR="004C1FB1" w:rsidRPr="004C1FB1" w:rsidRDefault="004C1FB1">
            <w:pPr>
              <w:rPr>
                <w:color w:val="000000"/>
              </w:rPr>
            </w:pPr>
          </w:p>
          <w:p w14:paraId="12965227" w14:textId="2BDA538C" w:rsidR="004C1FB1" w:rsidRPr="004C1FB1" w:rsidRDefault="004C1FB1">
            <w:pPr>
              <w:rPr>
                <w:color w:val="000000"/>
              </w:rPr>
            </w:pPr>
          </w:p>
          <w:p w14:paraId="71C3F03B" w14:textId="77777777" w:rsidR="004C1FB1" w:rsidRPr="004C1FB1" w:rsidRDefault="004C1FB1">
            <w:pPr>
              <w:rPr>
                <w:color w:val="000000"/>
              </w:rPr>
            </w:pPr>
          </w:p>
          <w:p w14:paraId="2B085BAD" w14:textId="77777777" w:rsidR="004C1FB1" w:rsidRPr="004C1FB1" w:rsidRDefault="004C1FB1">
            <w:pPr>
              <w:rPr>
                <w:color w:val="000000"/>
              </w:rPr>
            </w:pPr>
            <w:r w:rsidRPr="004C1FB1">
              <w:rPr>
                <w:color w:val="000000"/>
              </w:rPr>
              <w:t>GTG</w:t>
            </w:r>
          </w:p>
        </w:tc>
        <w:tc>
          <w:tcPr>
            <w:tcW w:w="369" w:type="pct"/>
            <w:shd w:val="clear" w:color="auto" w:fill="00B0F0"/>
          </w:tcPr>
          <w:p w14:paraId="62C3B943" w14:textId="77777777" w:rsidR="004C1FB1" w:rsidRPr="004C1FB1" w:rsidRDefault="004C1FB1">
            <w:pPr>
              <w:rPr>
                <w:color w:val="000000"/>
              </w:rPr>
            </w:pPr>
            <w:r w:rsidRPr="004C1FB1">
              <w:rPr>
                <w:color w:val="000000"/>
              </w:rPr>
              <w:t>GTG co-chairs</w:t>
            </w:r>
          </w:p>
          <w:p w14:paraId="09A73AE6" w14:textId="77777777" w:rsidR="004C1FB1" w:rsidRPr="004C1FB1" w:rsidRDefault="004C1FB1">
            <w:pPr>
              <w:rPr>
                <w:color w:val="000000"/>
              </w:rPr>
            </w:pPr>
          </w:p>
          <w:p w14:paraId="6F8B512F" w14:textId="77777777" w:rsidR="004C1FB1" w:rsidRPr="004C1FB1" w:rsidRDefault="004C1FB1">
            <w:pPr>
              <w:rPr>
                <w:color w:val="000000"/>
              </w:rPr>
            </w:pPr>
          </w:p>
          <w:p w14:paraId="4EB66ACA" w14:textId="414912F4" w:rsidR="004C1FB1" w:rsidRPr="004C1FB1" w:rsidRDefault="004C1FB1">
            <w:pPr>
              <w:rPr>
                <w:color w:val="000000"/>
              </w:rPr>
            </w:pPr>
          </w:p>
          <w:p w14:paraId="2B6900D8" w14:textId="76522F04" w:rsidR="004C1FB1" w:rsidRPr="004C1FB1" w:rsidRDefault="004C1FB1">
            <w:pPr>
              <w:rPr>
                <w:color w:val="000000"/>
              </w:rPr>
            </w:pPr>
          </w:p>
          <w:p w14:paraId="49E29068" w14:textId="77777777" w:rsidR="004C1FB1" w:rsidRPr="004C1FB1" w:rsidRDefault="004C1FB1">
            <w:pPr>
              <w:rPr>
                <w:color w:val="000000"/>
              </w:rPr>
            </w:pPr>
          </w:p>
          <w:p w14:paraId="472BA4D1" w14:textId="77777777" w:rsidR="004C1FB1" w:rsidRPr="004C1FB1" w:rsidRDefault="004C1FB1">
            <w:pPr>
              <w:rPr>
                <w:color w:val="000000"/>
              </w:rPr>
            </w:pPr>
          </w:p>
          <w:p w14:paraId="705ED32B" w14:textId="77777777" w:rsidR="004C1FB1" w:rsidRPr="004C1FB1" w:rsidRDefault="004C1FB1">
            <w:pPr>
              <w:rPr>
                <w:color w:val="000000"/>
              </w:rPr>
            </w:pPr>
          </w:p>
          <w:p w14:paraId="00D81262" w14:textId="77777777" w:rsidR="004C1FB1" w:rsidRPr="004C1FB1" w:rsidRDefault="004C1FB1">
            <w:pPr>
              <w:rPr>
                <w:color w:val="000000"/>
              </w:rPr>
            </w:pPr>
            <w:r w:rsidRPr="004C1FB1">
              <w:rPr>
                <w:color w:val="000000"/>
              </w:rPr>
              <w:t xml:space="preserve">GTG co-chairs and GTG Secretariat </w:t>
            </w:r>
          </w:p>
          <w:p w14:paraId="5A5713B6" w14:textId="77777777" w:rsidR="004C1FB1" w:rsidRPr="004C1FB1" w:rsidRDefault="004C1FB1">
            <w:pPr>
              <w:rPr>
                <w:color w:val="000000"/>
              </w:rPr>
            </w:pPr>
          </w:p>
          <w:p w14:paraId="599C1A83" w14:textId="764718DF" w:rsidR="004C1FB1" w:rsidRDefault="004C1FB1">
            <w:pPr>
              <w:rPr>
                <w:color w:val="000000"/>
              </w:rPr>
            </w:pPr>
          </w:p>
          <w:p w14:paraId="20921DE5" w14:textId="77777777" w:rsidR="004C1FB1" w:rsidRPr="004C1FB1" w:rsidRDefault="004C1FB1">
            <w:pPr>
              <w:rPr>
                <w:color w:val="000000"/>
              </w:rPr>
            </w:pPr>
          </w:p>
          <w:p w14:paraId="54B1F4EC" w14:textId="77777777" w:rsidR="004C1FB1" w:rsidRPr="004C1FB1" w:rsidRDefault="004C1FB1">
            <w:pPr>
              <w:rPr>
                <w:color w:val="000000"/>
              </w:rPr>
            </w:pPr>
            <w:r w:rsidRPr="004C1FB1">
              <w:rPr>
                <w:color w:val="000000"/>
              </w:rPr>
              <w:t>GTG Secretariat</w:t>
            </w:r>
          </w:p>
          <w:p w14:paraId="4A0DD9B3" w14:textId="77777777" w:rsidR="004C1FB1" w:rsidRPr="004C1FB1" w:rsidRDefault="004C1FB1">
            <w:pPr>
              <w:rPr>
                <w:color w:val="000000"/>
              </w:rPr>
            </w:pPr>
          </w:p>
          <w:p w14:paraId="10658B50" w14:textId="77777777" w:rsidR="004C1FB1" w:rsidRPr="004C1FB1" w:rsidRDefault="004C1FB1">
            <w:pPr>
              <w:rPr>
                <w:color w:val="000000"/>
              </w:rPr>
            </w:pPr>
          </w:p>
          <w:p w14:paraId="229E2307" w14:textId="6CDDC37C" w:rsidR="004C1FB1" w:rsidRPr="004C1FB1" w:rsidRDefault="004C1FB1">
            <w:pPr>
              <w:rPr>
                <w:color w:val="000000"/>
              </w:rPr>
            </w:pPr>
          </w:p>
          <w:p w14:paraId="12A168E1" w14:textId="55414AE4" w:rsidR="004C1FB1" w:rsidRPr="004C1FB1" w:rsidRDefault="004C1FB1">
            <w:pPr>
              <w:rPr>
                <w:color w:val="000000"/>
              </w:rPr>
            </w:pPr>
          </w:p>
          <w:p w14:paraId="44E2EDC9" w14:textId="77777777" w:rsidR="004C1FB1" w:rsidRPr="004C1FB1" w:rsidRDefault="004C1FB1">
            <w:pPr>
              <w:rPr>
                <w:color w:val="000000"/>
              </w:rPr>
            </w:pPr>
          </w:p>
          <w:p w14:paraId="27B28867" w14:textId="77777777" w:rsidR="004C1FB1" w:rsidRPr="004C1FB1" w:rsidRDefault="004C1FB1">
            <w:pPr>
              <w:rPr>
                <w:color w:val="000000"/>
              </w:rPr>
            </w:pPr>
            <w:r w:rsidRPr="004C1FB1">
              <w:rPr>
                <w:color w:val="000000"/>
              </w:rPr>
              <w:t xml:space="preserve">GTG co-chairs and GTG Secretariat </w:t>
            </w:r>
          </w:p>
          <w:p w14:paraId="13DB2D0D" w14:textId="77777777" w:rsidR="004C1FB1" w:rsidRPr="004C1FB1" w:rsidRDefault="004C1FB1">
            <w:pPr>
              <w:rPr>
                <w:color w:val="000000"/>
              </w:rPr>
            </w:pPr>
          </w:p>
        </w:tc>
        <w:tc>
          <w:tcPr>
            <w:tcW w:w="1070" w:type="pct"/>
            <w:shd w:val="clear" w:color="auto" w:fill="00B0F0"/>
          </w:tcPr>
          <w:p w14:paraId="56F2FA03" w14:textId="7C57BE99" w:rsidR="004C1FB1" w:rsidRPr="004C1FB1" w:rsidRDefault="0058463B">
            <w:pPr>
              <w:rPr>
                <w:color w:val="000000"/>
              </w:rPr>
            </w:pPr>
            <w:r>
              <w:rPr>
                <w:color w:val="000000"/>
              </w:rPr>
              <w:t xml:space="preserve">Total 6 meeting </w:t>
            </w:r>
          </w:p>
        </w:tc>
      </w:tr>
    </w:tbl>
    <w:p w14:paraId="244E626C" w14:textId="77777777" w:rsidR="00A2128F" w:rsidRDefault="00A2128F">
      <w:pPr>
        <w:ind w:right="272"/>
        <w:jc w:val="both"/>
      </w:pPr>
    </w:p>
    <w:sectPr w:rsidR="00A2128F" w:rsidSect="00AA0727">
      <w:pgSz w:w="16838" w:h="11906"/>
      <w:pgMar w:top="0" w:right="72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3AF954" w14:textId="77777777" w:rsidR="00FC3E77" w:rsidRDefault="00FC3E77">
      <w:pPr>
        <w:spacing w:after="0" w:line="240" w:lineRule="auto"/>
      </w:pPr>
      <w:r>
        <w:separator/>
      </w:r>
    </w:p>
  </w:endnote>
  <w:endnote w:type="continuationSeparator" w:id="0">
    <w:p w14:paraId="0AE7961A" w14:textId="77777777" w:rsidR="00FC3E77" w:rsidRDefault="00FC3E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yanmar Text">
    <w:panose1 w:val="020B0502040204020203"/>
    <w:charset w:val="00"/>
    <w:family w:val="swiss"/>
    <w:pitch w:val="variable"/>
    <w:sig w:usb0="80000003" w:usb1="00000000" w:usb2="00000400" w:usb3="00000000" w:csb0="00000001" w:csb1="00000000"/>
  </w:font>
  <w:font w:name="Arial">
    <w:panose1 w:val="020B0604020202020204"/>
    <w:charset w:val="00"/>
    <w:family w:val="swiss"/>
    <w:pitch w:val="variable"/>
    <w:sig w:usb0="E0002EFF" w:usb1="C000785B" w:usb2="00000009" w:usb3="00000000" w:csb0="000001FF" w:csb1="00000000"/>
  </w:font>
  <w:font w:name="DejaVu Sans">
    <w:altName w:val="Verdan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Forte">
    <w:panose1 w:val="0306090204050207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26E059" w14:textId="77777777" w:rsidR="00FC3E77" w:rsidRDefault="00FC3E77">
      <w:pPr>
        <w:spacing w:after="0" w:line="240" w:lineRule="auto"/>
      </w:pPr>
      <w:r>
        <w:separator/>
      </w:r>
    </w:p>
  </w:footnote>
  <w:footnote w:type="continuationSeparator" w:id="0">
    <w:p w14:paraId="3F022EAE" w14:textId="77777777" w:rsidR="00FC3E77" w:rsidRDefault="00FC3E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7031A6" w14:textId="77777777" w:rsidR="00A2128F" w:rsidRDefault="00AB12FC">
    <w:pPr>
      <w:pBdr>
        <w:top w:val="nil"/>
        <w:left w:val="nil"/>
        <w:bottom w:val="nil"/>
        <w:right w:val="nil"/>
        <w:between w:val="nil"/>
      </w:pBdr>
      <w:tabs>
        <w:tab w:val="center" w:pos="4680"/>
        <w:tab w:val="right" w:pos="9360"/>
      </w:tabs>
      <w:spacing w:after="0" w:line="240" w:lineRule="auto"/>
      <w:rPr>
        <w:color w:val="000000"/>
        <w:sz w:val="24"/>
        <w:szCs w:val="24"/>
      </w:rPr>
    </w:pPr>
    <w:r>
      <w:rPr>
        <w:noProof/>
      </w:rPr>
      <w:drawing>
        <wp:anchor distT="0" distB="0" distL="114300" distR="114300" simplePos="0" relativeHeight="251658240" behindDoc="0" locked="0" layoutInCell="1" hidden="0" allowOverlap="1" wp14:anchorId="49B032EA" wp14:editId="079E0F75">
          <wp:simplePos x="0" y="0"/>
          <wp:positionH relativeFrom="column">
            <wp:posOffset>3815581</wp:posOffset>
          </wp:positionH>
          <wp:positionV relativeFrom="paragraph">
            <wp:posOffset>-403859</wp:posOffset>
          </wp:positionV>
          <wp:extent cx="685800" cy="581451"/>
          <wp:effectExtent l="0" t="0" r="0" b="0"/>
          <wp:wrapNone/>
          <wp:docPr id="1" name="image1.png" descr="Image result for un logo"/>
          <wp:cNvGraphicFramePr/>
          <a:graphic xmlns:a="http://schemas.openxmlformats.org/drawingml/2006/main">
            <a:graphicData uri="http://schemas.openxmlformats.org/drawingml/2006/picture">
              <pic:pic xmlns:pic="http://schemas.openxmlformats.org/drawingml/2006/picture">
                <pic:nvPicPr>
                  <pic:cNvPr id="0" name="image1.png" descr="Image result for un logo"/>
                  <pic:cNvPicPr preferRelativeResize="0"/>
                </pic:nvPicPr>
                <pic:blipFill>
                  <a:blip r:embed="rId1"/>
                  <a:srcRect/>
                  <a:stretch>
                    <a:fillRect/>
                  </a:stretch>
                </pic:blipFill>
                <pic:spPr>
                  <a:xfrm>
                    <a:off x="0" y="0"/>
                    <a:ext cx="685800" cy="581451"/>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9517CD1"/>
    <w:multiLevelType w:val="hybridMultilevel"/>
    <w:tmpl w:val="9038225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1F495BB7"/>
    <w:multiLevelType w:val="hybridMultilevel"/>
    <w:tmpl w:val="7FA4322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15:restartNumberingAfterBreak="0">
    <w:nsid w:val="28A7448F"/>
    <w:multiLevelType w:val="hybridMultilevel"/>
    <w:tmpl w:val="F8B4C9C6"/>
    <w:lvl w:ilvl="0" w:tplc="698A6108">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98B42C3"/>
    <w:multiLevelType w:val="hybridMultilevel"/>
    <w:tmpl w:val="80363F02"/>
    <w:lvl w:ilvl="0" w:tplc="154455A2">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40E0DAF"/>
    <w:multiLevelType w:val="multilevel"/>
    <w:tmpl w:val="54FCB13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44C572E6"/>
    <w:multiLevelType w:val="hybridMultilevel"/>
    <w:tmpl w:val="4AE0EB74"/>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15:restartNumberingAfterBreak="0">
    <w:nsid w:val="46917854"/>
    <w:multiLevelType w:val="hybridMultilevel"/>
    <w:tmpl w:val="E376B65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51197719"/>
    <w:multiLevelType w:val="multilevel"/>
    <w:tmpl w:val="8494B4AA"/>
    <w:lvl w:ilvl="0">
      <w:start w:val="1"/>
      <w:numFmt w:val="decimal"/>
      <w:lvlText w:val="%1."/>
      <w:lvlJc w:val="left"/>
      <w:pPr>
        <w:ind w:left="360" w:hanging="360"/>
      </w:pPr>
      <w:rPr>
        <w:u w:val="none"/>
      </w:rPr>
    </w:lvl>
    <w:lvl w:ilvl="1">
      <w:start w:val="1"/>
      <w:numFmt w:val="lowerLetter"/>
      <w:lvlText w:val="%2."/>
      <w:lvlJc w:val="left"/>
      <w:pPr>
        <w:ind w:left="1080" w:hanging="360"/>
      </w:pPr>
      <w:rPr>
        <w:u w:val="none"/>
      </w:rPr>
    </w:lvl>
    <w:lvl w:ilvl="2">
      <w:start w:val="1"/>
      <w:numFmt w:val="lowerRoman"/>
      <w:lvlText w:val="%3."/>
      <w:lvlJc w:val="right"/>
      <w:pPr>
        <w:ind w:left="1800" w:hanging="360"/>
      </w:pPr>
      <w:rPr>
        <w:u w:val="none"/>
      </w:rPr>
    </w:lvl>
    <w:lvl w:ilvl="3">
      <w:start w:val="1"/>
      <w:numFmt w:val="decimal"/>
      <w:lvlText w:val="%4."/>
      <w:lvlJc w:val="left"/>
      <w:pPr>
        <w:ind w:left="2520" w:hanging="360"/>
      </w:pPr>
      <w:rPr>
        <w:u w:val="none"/>
      </w:rPr>
    </w:lvl>
    <w:lvl w:ilvl="4">
      <w:start w:val="1"/>
      <w:numFmt w:val="lowerLetter"/>
      <w:lvlText w:val="%5."/>
      <w:lvlJc w:val="left"/>
      <w:pPr>
        <w:ind w:left="3240" w:hanging="360"/>
      </w:pPr>
      <w:rPr>
        <w:u w:val="none"/>
      </w:rPr>
    </w:lvl>
    <w:lvl w:ilvl="5">
      <w:start w:val="1"/>
      <w:numFmt w:val="lowerRoman"/>
      <w:lvlText w:val="%6."/>
      <w:lvlJc w:val="right"/>
      <w:pPr>
        <w:ind w:left="3960" w:hanging="360"/>
      </w:pPr>
      <w:rPr>
        <w:u w:val="none"/>
      </w:rPr>
    </w:lvl>
    <w:lvl w:ilvl="6">
      <w:start w:val="1"/>
      <w:numFmt w:val="decimal"/>
      <w:lvlText w:val="%7."/>
      <w:lvlJc w:val="left"/>
      <w:pPr>
        <w:ind w:left="4680" w:hanging="360"/>
      </w:pPr>
      <w:rPr>
        <w:u w:val="none"/>
      </w:rPr>
    </w:lvl>
    <w:lvl w:ilvl="7">
      <w:start w:val="1"/>
      <w:numFmt w:val="lowerLetter"/>
      <w:lvlText w:val="%8."/>
      <w:lvlJc w:val="left"/>
      <w:pPr>
        <w:ind w:left="5400" w:hanging="360"/>
      </w:pPr>
      <w:rPr>
        <w:u w:val="none"/>
      </w:rPr>
    </w:lvl>
    <w:lvl w:ilvl="8">
      <w:start w:val="1"/>
      <w:numFmt w:val="lowerRoman"/>
      <w:lvlText w:val="%9."/>
      <w:lvlJc w:val="right"/>
      <w:pPr>
        <w:ind w:left="6120" w:hanging="360"/>
      </w:pPr>
      <w:rPr>
        <w:u w:val="none"/>
      </w:rPr>
    </w:lvl>
  </w:abstractNum>
  <w:abstractNum w:abstractNumId="8" w15:restartNumberingAfterBreak="0">
    <w:nsid w:val="528A2D0A"/>
    <w:multiLevelType w:val="hybridMultilevel"/>
    <w:tmpl w:val="32FAEDD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15:restartNumberingAfterBreak="0">
    <w:nsid w:val="62BF76DE"/>
    <w:multiLevelType w:val="multilevel"/>
    <w:tmpl w:val="DD48BB6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6F7A61AF"/>
    <w:multiLevelType w:val="hybridMultilevel"/>
    <w:tmpl w:val="AE9C49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4"/>
  </w:num>
  <w:num w:numId="3">
    <w:abstractNumId w:val="7"/>
  </w:num>
  <w:num w:numId="4">
    <w:abstractNumId w:val="10"/>
  </w:num>
  <w:num w:numId="5">
    <w:abstractNumId w:val="2"/>
  </w:num>
  <w:num w:numId="6">
    <w:abstractNumId w:val="3"/>
  </w:num>
  <w:num w:numId="7">
    <w:abstractNumId w:val="5"/>
  </w:num>
  <w:num w:numId="8">
    <w:abstractNumId w:val="6"/>
  </w:num>
  <w:num w:numId="9">
    <w:abstractNumId w:val="0"/>
  </w:num>
  <w:num w:numId="10">
    <w:abstractNumId w:val="1"/>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28F"/>
    <w:rsid w:val="001F1408"/>
    <w:rsid w:val="003018F0"/>
    <w:rsid w:val="00355858"/>
    <w:rsid w:val="003A1255"/>
    <w:rsid w:val="004905D7"/>
    <w:rsid w:val="004C1FB1"/>
    <w:rsid w:val="004E6564"/>
    <w:rsid w:val="004F5075"/>
    <w:rsid w:val="004F787E"/>
    <w:rsid w:val="0058463B"/>
    <w:rsid w:val="00633C2A"/>
    <w:rsid w:val="007D2C59"/>
    <w:rsid w:val="007D461B"/>
    <w:rsid w:val="00932197"/>
    <w:rsid w:val="00A2128F"/>
    <w:rsid w:val="00AA0727"/>
    <w:rsid w:val="00AB12FC"/>
    <w:rsid w:val="00C1529D"/>
    <w:rsid w:val="00CF03CE"/>
    <w:rsid w:val="00FC3E77"/>
    <w:rsid w:val="19B255FB"/>
    <w:rsid w:val="23F21B26"/>
    <w:rsid w:val="301C982C"/>
    <w:rsid w:val="31B8688D"/>
    <w:rsid w:val="687439CC"/>
    <w:rsid w:val="7665CD17"/>
    <w:rsid w:val="7904C893"/>
  </w:rsids>
  <m:mathPr>
    <m:mathFont m:val="Cambria Math"/>
    <m:brkBin m:val="before"/>
    <m:brkBinSub m:val="--"/>
    <m:smallFrac m:val="0"/>
    <m:dispDef/>
    <m:lMargin m:val="0"/>
    <m:rMargin m:val="0"/>
    <m:defJc m:val="centerGroup"/>
    <m:wrapIndent m:val="1440"/>
    <m:intLim m:val="subSup"/>
    <m:naryLim m:val="undOvr"/>
  </m:mathPr>
  <w:themeFontLang w:val="ru-RU" w:bidi="my-M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05820"/>
  <w15:docId w15:val="{7785032E-5828-42F2-9C30-0690A8AFC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en-US" w:eastAsia="ru-RU" w:bidi="my-MM"/>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aliases w:val="ADB Normal,List_Paragraph,Multilevel para_II,List Paragraph1,List Paragraph11,Colorful List - Accent 11,ADB paragraph numbering,Recommendation,Bulleted List Paragraph,Citation List,Graphic,Bullets1,Resume Title"/>
    <w:basedOn w:val="Normal"/>
    <w:link w:val="ListParagraphChar"/>
    <w:uiPriority w:val="34"/>
    <w:qFormat/>
    <w:rsid w:val="00A338D5"/>
    <w:pPr>
      <w:spacing w:after="0" w:line="240" w:lineRule="auto"/>
      <w:ind w:left="720"/>
      <w:contextualSpacing/>
    </w:pPr>
    <w:rPr>
      <w:sz w:val="24"/>
      <w:szCs w:val="24"/>
    </w:rPr>
  </w:style>
  <w:style w:type="character" w:styleId="CommentReference">
    <w:name w:val="annotation reference"/>
    <w:basedOn w:val="DefaultParagraphFont"/>
    <w:uiPriority w:val="99"/>
    <w:semiHidden/>
    <w:unhideWhenUsed/>
    <w:rsid w:val="00A338D5"/>
    <w:rPr>
      <w:sz w:val="18"/>
      <w:szCs w:val="18"/>
    </w:rPr>
  </w:style>
  <w:style w:type="paragraph" w:styleId="FootnoteText">
    <w:name w:val="footnote text"/>
    <w:aliases w:val="single space,Texto nota pie Car Car Car,FOOTNOTES,fn,Footnote Text Char Char Char,Footnote Text1 Char,Footnote Text2,Footnote Text Char Char Char1 Char,Footnote Text Char Char Char1,ft,ADB,Footnote Text Char Char,Char Char,f"/>
    <w:basedOn w:val="Normal"/>
    <w:link w:val="FootnoteTextChar"/>
    <w:uiPriority w:val="99"/>
    <w:unhideWhenUsed/>
    <w:qFormat/>
    <w:rsid w:val="00A338D5"/>
    <w:pPr>
      <w:spacing w:after="0" w:line="240" w:lineRule="auto"/>
    </w:pPr>
    <w:rPr>
      <w:sz w:val="24"/>
      <w:szCs w:val="24"/>
    </w:rPr>
  </w:style>
  <w:style w:type="character" w:customStyle="1" w:styleId="FootnoteTextChar">
    <w:name w:val="Footnote Text Char"/>
    <w:aliases w:val="single space Char,Texto nota pie Car Car Car Char,FOOTNOTES Char,fn Char,Footnote Text Char Char Char Char,Footnote Text1 Char Char,Footnote Text2 Char,Footnote Text Char Char Char1 Char Char,Footnote Text Char Char Char1 Char1,f Char"/>
    <w:basedOn w:val="DefaultParagraphFont"/>
    <w:link w:val="FootnoteText"/>
    <w:uiPriority w:val="99"/>
    <w:rsid w:val="00A338D5"/>
    <w:rPr>
      <w:sz w:val="24"/>
      <w:szCs w:val="24"/>
    </w:rPr>
  </w:style>
  <w:style w:type="character" w:styleId="FootnoteReference">
    <w:name w:val="footnote reference"/>
    <w:aliases w:val="Char Char Char Char Car Char,BVI fnr,ftref,BVI fnr Char1,BVI fnr Car Car Char1,BVI fnr Car Char1,BVI fnr Car Car Car Car Char,BVI fnr Car Car Car Car Char Char,BVI fnr Char Char Char,BVI fnr Car Car Char Char Char,BVI fnr Car Car"/>
    <w:basedOn w:val="DefaultParagraphFont"/>
    <w:link w:val="BVIfnr1"/>
    <w:uiPriority w:val="99"/>
    <w:unhideWhenUsed/>
    <w:qFormat/>
    <w:rsid w:val="00A338D5"/>
    <w:rPr>
      <w:vertAlign w:val="superscript"/>
    </w:rPr>
  </w:style>
  <w:style w:type="paragraph" w:customStyle="1" w:styleId="Default">
    <w:name w:val="Default"/>
    <w:rsid w:val="00A338D5"/>
    <w:pPr>
      <w:widowControl w:val="0"/>
      <w:autoSpaceDE w:val="0"/>
      <w:autoSpaceDN w:val="0"/>
      <w:adjustRightInd w:val="0"/>
      <w:spacing w:after="0" w:line="240" w:lineRule="auto"/>
    </w:pPr>
    <w:rPr>
      <w:color w:val="000000"/>
      <w:sz w:val="24"/>
      <w:szCs w:val="24"/>
    </w:rPr>
  </w:style>
  <w:style w:type="table" w:styleId="TableGrid">
    <w:name w:val="Table Grid"/>
    <w:basedOn w:val="TableNormal"/>
    <w:uiPriority w:val="39"/>
    <w:rsid w:val="00A338D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A338D5"/>
    <w:pPr>
      <w:spacing w:after="0" w:line="240" w:lineRule="auto"/>
    </w:pPr>
    <w:rPr>
      <w:rFonts w:ascii="Times New Roman" w:eastAsia="Times New Roman" w:hAnsi="Times New Roman" w:cs="Times New Roman"/>
      <w:sz w:val="24"/>
      <w:szCs w:val="24"/>
      <w:lang w:val="en-GB"/>
    </w:rPr>
  </w:style>
  <w:style w:type="character" w:customStyle="1" w:styleId="CommentTextChar">
    <w:name w:val="Comment Text Char"/>
    <w:basedOn w:val="DefaultParagraphFont"/>
    <w:link w:val="CommentText"/>
    <w:uiPriority w:val="99"/>
    <w:rsid w:val="00A338D5"/>
    <w:rPr>
      <w:rFonts w:ascii="Times New Roman" w:eastAsia="Times New Roman" w:hAnsi="Times New Roman" w:cs="Times New Roman"/>
      <w:sz w:val="24"/>
      <w:szCs w:val="24"/>
      <w:lang w:val="en-GB"/>
    </w:rPr>
  </w:style>
  <w:style w:type="character" w:styleId="Hyperlink">
    <w:name w:val="Hyperlink"/>
    <w:basedOn w:val="DefaultParagraphFont"/>
    <w:rsid w:val="00A338D5"/>
    <w:rPr>
      <w:color w:val="0563C1" w:themeColor="hyperlink"/>
      <w:u w:val="single"/>
    </w:rPr>
  </w:style>
  <w:style w:type="paragraph" w:customStyle="1" w:styleId="NormalIndent127">
    <w:name w:val="Normal Indent 1.27"/>
    <w:basedOn w:val="Normal"/>
    <w:autoRedefine/>
    <w:rsid w:val="00A338D5"/>
    <w:pPr>
      <w:spacing w:after="80" w:line="240" w:lineRule="auto"/>
      <w:ind w:left="-18" w:firstLine="18"/>
    </w:pPr>
    <w:rPr>
      <w:rFonts w:ascii="Times New Roman" w:eastAsia="SimSun" w:hAnsi="Times New Roman" w:cs="Times New Roman"/>
    </w:rPr>
  </w:style>
  <w:style w:type="paragraph" w:styleId="Footer">
    <w:name w:val="footer"/>
    <w:basedOn w:val="Normal"/>
    <w:link w:val="FooterChar"/>
    <w:uiPriority w:val="99"/>
    <w:unhideWhenUsed/>
    <w:rsid w:val="00A338D5"/>
    <w:pPr>
      <w:tabs>
        <w:tab w:val="center" w:pos="4680"/>
        <w:tab w:val="right" w:pos="9360"/>
      </w:tabs>
      <w:spacing w:after="0" w:line="240" w:lineRule="auto"/>
    </w:pPr>
    <w:rPr>
      <w:sz w:val="24"/>
      <w:szCs w:val="24"/>
    </w:rPr>
  </w:style>
  <w:style w:type="character" w:customStyle="1" w:styleId="FooterChar">
    <w:name w:val="Footer Char"/>
    <w:basedOn w:val="DefaultParagraphFont"/>
    <w:link w:val="Footer"/>
    <w:uiPriority w:val="99"/>
    <w:rsid w:val="00A338D5"/>
    <w:rPr>
      <w:sz w:val="24"/>
      <w:szCs w:val="24"/>
    </w:rPr>
  </w:style>
  <w:style w:type="character" w:styleId="PageNumber">
    <w:name w:val="page number"/>
    <w:basedOn w:val="DefaultParagraphFont"/>
    <w:uiPriority w:val="99"/>
    <w:semiHidden/>
    <w:unhideWhenUsed/>
    <w:rsid w:val="00A338D5"/>
  </w:style>
  <w:style w:type="character" w:customStyle="1" w:styleId="apple-converted-space">
    <w:name w:val="apple-converted-space"/>
    <w:basedOn w:val="DefaultParagraphFont"/>
    <w:rsid w:val="00A338D5"/>
  </w:style>
  <w:style w:type="paragraph" w:styleId="BalloonText">
    <w:name w:val="Balloon Text"/>
    <w:basedOn w:val="Normal"/>
    <w:link w:val="BalloonTextChar"/>
    <w:uiPriority w:val="99"/>
    <w:semiHidden/>
    <w:unhideWhenUsed/>
    <w:rsid w:val="00A338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38D5"/>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A338D5"/>
    <w:rPr>
      <w:rFonts w:asciiTheme="minorHAnsi" w:eastAsiaTheme="minorHAnsi" w:hAnsiTheme="minorHAnsi" w:cstheme="minorBidi"/>
      <w:b/>
      <w:bCs/>
      <w:sz w:val="20"/>
      <w:szCs w:val="20"/>
      <w:lang w:val="en-US"/>
    </w:rPr>
  </w:style>
  <w:style w:type="character" w:customStyle="1" w:styleId="CommentSubjectChar">
    <w:name w:val="Comment Subject Char"/>
    <w:basedOn w:val="CommentTextChar"/>
    <w:link w:val="CommentSubject"/>
    <w:uiPriority w:val="99"/>
    <w:semiHidden/>
    <w:rsid w:val="00A338D5"/>
    <w:rPr>
      <w:rFonts w:ascii="Times New Roman" w:eastAsia="Times New Roman" w:hAnsi="Times New Roman" w:cs="Times New Roman"/>
      <w:b/>
      <w:bCs/>
      <w:sz w:val="20"/>
      <w:szCs w:val="20"/>
      <w:lang w:val="en-GB"/>
    </w:rPr>
  </w:style>
  <w:style w:type="character" w:styleId="Emphasis">
    <w:name w:val="Emphasis"/>
    <w:basedOn w:val="DefaultParagraphFont"/>
    <w:uiPriority w:val="20"/>
    <w:qFormat/>
    <w:rsid w:val="00A338D5"/>
    <w:rPr>
      <w:i/>
      <w:iCs/>
    </w:rPr>
  </w:style>
  <w:style w:type="paragraph" w:styleId="Revision">
    <w:name w:val="Revision"/>
    <w:hidden/>
    <w:uiPriority w:val="99"/>
    <w:semiHidden/>
    <w:rsid w:val="00A338D5"/>
    <w:pPr>
      <w:spacing w:after="0" w:line="240" w:lineRule="auto"/>
    </w:pPr>
    <w:rPr>
      <w:sz w:val="24"/>
      <w:szCs w:val="24"/>
    </w:rPr>
  </w:style>
  <w:style w:type="paragraph" w:customStyle="1" w:styleId="p1">
    <w:name w:val="p1"/>
    <w:basedOn w:val="Normal"/>
    <w:rsid w:val="00A338D5"/>
    <w:pPr>
      <w:spacing w:before="100" w:beforeAutospacing="1" w:after="100" w:afterAutospacing="1" w:line="240" w:lineRule="auto"/>
    </w:pPr>
    <w:rPr>
      <w:rFonts w:ascii="Times New Roman" w:hAnsi="Times New Roman" w:cs="Times New Roman"/>
      <w:sz w:val="24"/>
      <w:szCs w:val="24"/>
    </w:rPr>
  </w:style>
  <w:style w:type="character" w:customStyle="1" w:styleId="s1">
    <w:name w:val="s1"/>
    <w:basedOn w:val="DefaultParagraphFont"/>
    <w:rsid w:val="00A338D5"/>
  </w:style>
  <w:style w:type="paragraph" w:styleId="NormalWeb">
    <w:name w:val="Normal (Web)"/>
    <w:basedOn w:val="Normal"/>
    <w:uiPriority w:val="99"/>
    <w:unhideWhenUsed/>
    <w:rsid w:val="00A338D5"/>
    <w:pPr>
      <w:spacing w:before="100" w:beforeAutospacing="1" w:after="100" w:afterAutospacing="1" w:line="240" w:lineRule="auto"/>
    </w:pPr>
    <w:rPr>
      <w:rFonts w:ascii="Times New Roman" w:hAnsi="Times New Roman" w:cs="Times New Roman"/>
      <w:sz w:val="24"/>
      <w:szCs w:val="24"/>
      <w:lang w:val="en-GB" w:eastAsia="en-GB"/>
    </w:rPr>
  </w:style>
  <w:style w:type="paragraph" w:customStyle="1" w:styleId="m5709940747681054917gmail-msolistparagraph">
    <w:name w:val="m5709940747681054917gmail-msolistparagraph"/>
    <w:basedOn w:val="Normal"/>
    <w:rsid w:val="00A338D5"/>
    <w:pPr>
      <w:spacing w:before="100" w:beforeAutospacing="1" w:after="100" w:afterAutospacing="1" w:line="240" w:lineRule="auto"/>
    </w:pPr>
    <w:rPr>
      <w:rFonts w:ascii="Times New Roman" w:hAnsi="Times New Roman" w:cs="Times New Roman"/>
      <w:sz w:val="24"/>
      <w:szCs w:val="24"/>
    </w:rPr>
  </w:style>
  <w:style w:type="paragraph" w:styleId="Header">
    <w:name w:val="header"/>
    <w:basedOn w:val="Normal"/>
    <w:link w:val="HeaderChar"/>
    <w:uiPriority w:val="99"/>
    <w:unhideWhenUsed/>
    <w:rsid w:val="00A338D5"/>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uiPriority w:val="99"/>
    <w:rsid w:val="00A338D5"/>
    <w:rPr>
      <w:sz w:val="24"/>
      <w:szCs w:val="24"/>
    </w:rPr>
  </w:style>
  <w:style w:type="paragraph" w:customStyle="1" w:styleId="ochatabletext">
    <w:name w:val="ocha_table_text"/>
    <w:qFormat/>
    <w:rsid w:val="00A338D5"/>
    <w:pPr>
      <w:spacing w:after="0" w:line="276" w:lineRule="auto"/>
    </w:pPr>
    <w:rPr>
      <w:rFonts w:ascii="Arial" w:hAnsi="Arial"/>
      <w:color w:val="404040"/>
      <w:sz w:val="16"/>
    </w:rPr>
  </w:style>
  <w:style w:type="paragraph" w:customStyle="1" w:styleId="ochabignumber">
    <w:name w:val="ocha_big_number"/>
    <w:basedOn w:val="Normal"/>
    <w:qFormat/>
    <w:rsid w:val="00A338D5"/>
    <w:pPr>
      <w:spacing w:after="0" w:line="240" w:lineRule="auto"/>
    </w:pPr>
    <w:rPr>
      <w:rFonts w:ascii="Arial" w:hAnsi="Arial"/>
      <w:color w:val="026CB6"/>
      <w:sz w:val="32"/>
      <w:szCs w:val="32"/>
    </w:rPr>
  </w:style>
  <w:style w:type="paragraph" w:customStyle="1" w:styleId="BVIfnr1">
    <w:name w:val="BVI fnr1"/>
    <w:aliases w:val="BVI fnr Car Car1,BVI fnr Car1,BVI fnr Car Car Car Car1,BVI fnr Car Car Car Car Char Char Char1"/>
    <w:basedOn w:val="Normal"/>
    <w:link w:val="FootnoteReference"/>
    <w:uiPriority w:val="99"/>
    <w:rsid w:val="00A338D5"/>
    <w:pPr>
      <w:spacing w:line="240" w:lineRule="exact"/>
    </w:pPr>
    <w:rPr>
      <w:vertAlign w:val="superscript"/>
    </w:rPr>
  </w:style>
  <w:style w:type="character" w:customStyle="1" w:styleId="ListParagraphChar">
    <w:name w:val="List Paragraph Char"/>
    <w:aliases w:val="ADB Normal Char,List_Paragraph Char,Multilevel para_II Char,List Paragraph1 Char,List Paragraph11 Char,Colorful List - Accent 11 Char,ADB paragraph numbering Char,Recommendation Char,Bulleted List Paragraph Char,Citation List Char"/>
    <w:basedOn w:val="DefaultParagraphFont"/>
    <w:link w:val="ListParagraph"/>
    <w:uiPriority w:val="34"/>
    <w:qFormat/>
    <w:locked/>
    <w:rsid w:val="00A338D5"/>
    <w:rPr>
      <w:sz w:val="24"/>
      <w:szCs w:val="24"/>
    </w:rPr>
  </w:style>
  <w:style w:type="table" w:customStyle="1" w:styleId="TableGrid1">
    <w:name w:val="Table Grid1"/>
    <w:basedOn w:val="TableNormal"/>
    <w:next w:val="TableGrid"/>
    <w:uiPriority w:val="59"/>
    <w:rsid w:val="004A59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EF471E"/>
    <w:pPr>
      <w:widowControl w:val="0"/>
      <w:autoSpaceDE w:val="0"/>
      <w:autoSpaceDN w:val="0"/>
      <w:spacing w:after="0" w:line="240" w:lineRule="auto"/>
    </w:pPr>
    <w:rPr>
      <w:rFonts w:ascii="DejaVu Sans" w:eastAsia="DejaVu Sans" w:hAnsi="DejaVu Sans" w:cs="DejaVu Sans"/>
      <w:lang w:bidi="en-US"/>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pPr>
      <w:spacing w:after="0" w:line="240" w:lineRule="auto"/>
    </w:pPr>
    <w:tblPr>
      <w:tblStyleRowBandSize w:val="1"/>
      <w:tblStyleColBandSize w:val="1"/>
      <w:tblCellMar>
        <w:top w:w="113" w:type="dxa"/>
        <w:bottom w:w="113" w:type="dxa"/>
      </w:tblCellMar>
    </w:tblPr>
  </w:style>
  <w:style w:type="character" w:styleId="UnresolvedMention">
    <w:name w:val="Unresolved Mention"/>
    <w:basedOn w:val="DefaultParagraphFont"/>
    <w:uiPriority w:val="99"/>
    <w:semiHidden/>
    <w:unhideWhenUsed/>
    <w:rsid w:val="00C1529D"/>
    <w:rPr>
      <w:color w:val="605E5C"/>
      <w:shd w:val="clear" w:color="auto" w:fill="E1DFDD"/>
    </w:rPr>
  </w:style>
  <w:style w:type="paragraph" w:styleId="NoSpacing">
    <w:name w:val="No Spacing"/>
    <w:uiPriority w:val="1"/>
    <w:qFormat/>
    <w:rsid w:val="004C1FB1"/>
    <w:pPr>
      <w:spacing w:after="0" w:line="240" w:lineRule="auto"/>
    </w:pPr>
  </w:style>
  <w:style w:type="character" w:customStyle="1" w:styleId="font-12">
    <w:name w:val="font-12"/>
    <w:basedOn w:val="DefaultParagraphFont"/>
    <w:rsid w:val="00AA0727"/>
    <w:rPr>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acebook.com/MyanmarNationalCommitteeOnWomen"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rive.google.com/drive/folders/1iwJzCj36Z87ExEH7Ikxk-OUtvV5r-ZVb?usp=sharin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BE2ED6EF13AD8468F9F6450BEA53A76" ma:contentTypeVersion="5" ma:contentTypeDescription="Create a new document." ma:contentTypeScope="" ma:versionID="e895a0e14ecdcbdc001207b88eb68029">
  <xsd:schema xmlns:xsd="http://www.w3.org/2001/XMLSchema" xmlns:xs="http://www.w3.org/2001/XMLSchema" xmlns:p="http://schemas.microsoft.com/office/2006/metadata/properties" xmlns:ns2="6e38f6cf-469e-4c31-af3f-aa47f9e038a0" targetNamespace="http://schemas.microsoft.com/office/2006/metadata/properties" ma:root="true" ma:fieldsID="8f438b23a1ab617a506ed5a86a302497" ns2:_="">
    <xsd:import namespace="6e38f6cf-469e-4c31-af3f-aa47f9e038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38f6cf-469e-4c31-af3f-aa47f9e038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go:gDocsCustomXmlDataStorage xmlns:go="http://customooxmlschemas.google.com/" xmlns:r="http://schemas.openxmlformats.org/officeDocument/2006/relationships">
  <go:docsCustomData xmlns:go="http://customooxmlschemas.google.com/" roundtripDataSignature="AMtx7mgPSItQ2VSGKhb7nkvpD/SlE8rqZQ==">AMUW2mW77ZCgsHjxJiKDrKTpo7p3xBNUNs58HJ2LmgGwAMrffbm+bcacqlfC6iaQCWLYcQXw3tH8qBmVqmfAVFipQrLxqxdnFQeEolILT29hx7pD6lXRyyA=</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9E8D6F4-A0C8-4D1A-B92B-60B036ADCEE0}">
  <ds:schemaRefs>
    <ds:schemaRef ds:uri="http://schemas.microsoft.com/sharepoint/v3/contenttype/forms"/>
  </ds:schemaRefs>
</ds:datastoreItem>
</file>

<file path=customXml/itemProps2.xml><?xml version="1.0" encoding="utf-8"?>
<ds:datastoreItem xmlns:ds="http://schemas.openxmlformats.org/officeDocument/2006/customXml" ds:itemID="{7198E77D-94DB-43B1-A08A-1EA68C875C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38f6cf-469e-4c31-af3f-aa47f9e038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336095A5-0525-4533-A921-C582BE7554A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1270</Words>
  <Characters>7243</Characters>
  <Application>Microsoft Office Word</Application>
  <DocSecurity>0</DocSecurity>
  <Lines>60</Lines>
  <Paragraphs>16</Paragraphs>
  <ScaleCrop>false</ScaleCrop>
  <Company/>
  <LinksUpToDate>false</LinksUpToDate>
  <CharactersWithSpaces>8497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Marie Sophie Sandberg Pettersson</dc:creator>
  <cp:lastModifiedBy>Denise Laaveri</cp:lastModifiedBy>
  <cp:revision>10</cp:revision>
  <dcterms:created xsi:type="dcterms:W3CDTF">2020-07-13T07:25:00Z</dcterms:created>
  <dcterms:modified xsi:type="dcterms:W3CDTF">2021-02-18T10:44:00Z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0x0101002BE2ED6EF13AD8468F9F6450BEA53A76</vt:lpwstr>
  </property>
</Properties>
</file>