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1B37" w14:textId="77777777" w:rsidR="00E65254" w:rsidRDefault="00E65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"/>
        <w:gridCol w:w="2638"/>
        <w:gridCol w:w="3117"/>
      </w:tblGrid>
      <w:tr w:rsidR="00E65254" w:rsidRPr="00151947" w14:paraId="022C23A9" w14:textId="77777777" w:rsidTr="075B6382">
        <w:tc>
          <w:tcPr>
            <w:tcW w:w="9350" w:type="dxa"/>
            <w:gridSpan w:val="4"/>
            <w:shd w:val="clear" w:color="auto" w:fill="FC0C8A"/>
          </w:tcPr>
          <w:p w14:paraId="7789F295" w14:textId="77777777" w:rsidR="00E65254" w:rsidRPr="00151947" w:rsidRDefault="00E65254" w:rsidP="00271DA6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151947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UNCT-SWAP Gender Equality Scorecard Toolkit Resource</w:t>
            </w:r>
          </w:p>
        </w:tc>
      </w:tr>
      <w:tr w:rsidR="00E65254" w14:paraId="0A31B5DB" w14:textId="77777777" w:rsidTr="075B6382">
        <w:tc>
          <w:tcPr>
            <w:tcW w:w="3595" w:type="dxa"/>
            <w:gridSpan w:val="2"/>
            <w:shd w:val="clear" w:color="auto" w:fill="FFCCFF"/>
          </w:tcPr>
          <w:p w14:paraId="7260C2AA" w14:textId="77777777" w:rsidR="00E65254" w:rsidRPr="00151947" w:rsidRDefault="00E65254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What?</w:t>
            </w:r>
          </w:p>
          <w:p w14:paraId="0518DD6A" w14:textId="77777777" w:rsidR="00E65254" w:rsidRPr="00151947" w:rsidRDefault="00E65254">
            <w:pPr>
              <w:rPr>
                <w:sz w:val="22"/>
                <w:szCs w:val="22"/>
              </w:rPr>
            </w:pPr>
            <w:r w:rsidRPr="00BA69FC">
              <w:rPr>
                <w:i/>
                <w:iCs/>
                <w:sz w:val="22"/>
                <w:szCs w:val="22"/>
              </w:rPr>
              <w:t>Good Practice Including Gender in UNCT HOA Meetings</w:t>
            </w:r>
            <w:r w:rsidRPr="01ADB45D">
              <w:rPr>
                <w:sz w:val="22"/>
                <w:szCs w:val="22"/>
              </w:rPr>
              <w:t xml:space="preserve"> (UNCT-SWAP Toolkit 2020). </w:t>
            </w:r>
          </w:p>
          <w:p w14:paraId="25F2D40C" w14:textId="77777777" w:rsidR="00E65254" w:rsidRDefault="00E65254"/>
          <w:p w14:paraId="6FBD8E19" w14:textId="77777777" w:rsidR="00E65254" w:rsidRDefault="00E65254"/>
        </w:tc>
        <w:tc>
          <w:tcPr>
            <w:tcW w:w="5755" w:type="dxa"/>
            <w:gridSpan w:val="2"/>
            <w:shd w:val="clear" w:color="auto" w:fill="FF99FF"/>
          </w:tcPr>
          <w:p w14:paraId="560148B2" w14:textId="77777777" w:rsidR="00E65254" w:rsidRDefault="00E65254" w:rsidP="00271DA6">
            <w:pPr>
              <w:rPr>
                <w:rFonts w:ascii="Forte" w:eastAsia="Brush Script MT" w:hAnsi="Forte" w:cs="Brush Script MT"/>
                <w:sz w:val="28"/>
                <w:szCs w:val="28"/>
              </w:rPr>
            </w:pPr>
            <w:r w:rsidRPr="00151947">
              <w:rPr>
                <w:rFonts w:ascii="Forte" w:eastAsia="Brush Script MT" w:hAnsi="Forte" w:cs="Brush Script MT"/>
                <w:sz w:val="28"/>
                <w:szCs w:val="28"/>
              </w:rPr>
              <w:t>Why?</w:t>
            </w:r>
          </w:p>
          <w:p w14:paraId="30BFA0D3" w14:textId="05DDA30D" w:rsidR="00E65254" w:rsidRDefault="00E65254" w:rsidP="075B6382">
            <w:pPr>
              <w:rPr>
                <w:rFonts w:eastAsia="Brush Script MT"/>
                <w:sz w:val="22"/>
                <w:szCs w:val="22"/>
              </w:rPr>
            </w:pPr>
            <w:r w:rsidRPr="075B6382">
              <w:rPr>
                <w:rFonts w:eastAsia="Brush Script MT"/>
                <w:sz w:val="22"/>
                <w:szCs w:val="22"/>
              </w:rPr>
              <w:t xml:space="preserve">This one-page document was developed for the UNCT-SWAP </w:t>
            </w:r>
            <w:r w:rsidR="619C709F" w:rsidRPr="075B6382">
              <w:rPr>
                <w:rFonts w:eastAsia="Brush Script MT"/>
                <w:sz w:val="22"/>
                <w:szCs w:val="22"/>
              </w:rPr>
              <w:t xml:space="preserve">Gender Equality scorecard </w:t>
            </w:r>
            <w:r w:rsidRPr="075B6382">
              <w:rPr>
                <w:rFonts w:eastAsia="Brush Script MT"/>
                <w:sz w:val="22"/>
                <w:szCs w:val="22"/>
              </w:rPr>
              <w:t xml:space="preserve">Toolkit to share some good practices identified by UNCTs in response to UNCT-SWAP findings of limited meaningful engagement on GEWE at regular Heads-of-Agency (HOA) meetings.  </w:t>
            </w:r>
          </w:p>
          <w:p w14:paraId="52ABA76C" w14:textId="29C51CDF" w:rsidR="00E65254" w:rsidRDefault="00E65254" w:rsidP="075B6382">
            <w:pPr>
              <w:rPr>
                <w:rFonts w:eastAsia="Brush Script MT"/>
                <w:sz w:val="22"/>
                <w:szCs w:val="22"/>
              </w:rPr>
            </w:pPr>
          </w:p>
          <w:p w14:paraId="0A4EB8FF" w14:textId="48A29358" w:rsidR="00E65254" w:rsidRDefault="00E65254" w:rsidP="075B6382">
            <w:pPr>
              <w:rPr>
                <w:rFonts w:eastAsia="Brush Script MT"/>
                <w:sz w:val="22"/>
                <w:szCs w:val="22"/>
              </w:rPr>
            </w:pPr>
            <w:r w:rsidRPr="075B6382">
              <w:rPr>
                <w:rFonts w:eastAsia="Brush Script MT"/>
                <w:sz w:val="22"/>
                <w:szCs w:val="22"/>
              </w:rPr>
              <w:t xml:space="preserve">The </w:t>
            </w:r>
            <w:r w:rsidR="041884F6" w:rsidRPr="075B6382">
              <w:rPr>
                <w:rFonts w:eastAsia="Brush Script MT"/>
                <w:sz w:val="22"/>
                <w:szCs w:val="22"/>
              </w:rPr>
              <w:t>document</w:t>
            </w:r>
            <w:r w:rsidRPr="075B6382">
              <w:rPr>
                <w:rFonts w:eastAsia="Brush Script MT"/>
                <w:sz w:val="22"/>
                <w:szCs w:val="22"/>
              </w:rPr>
              <w:t xml:space="preserve"> summarizes various approaches </w:t>
            </w:r>
            <w:r w:rsidR="7A9D2E95" w:rsidRPr="075B6382">
              <w:rPr>
                <w:rFonts w:eastAsia="Brush Script MT"/>
                <w:sz w:val="22"/>
                <w:szCs w:val="22"/>
              </w:rPr>
              <w:t xml:space="preserve">trialed by UNCTs, </w:t>
            </w:r>
            <w:r w:rsidRPr="075B6382">
              <w:rPr>
                <w:rFonts w:eastAsia="Brush Script MT"/>
                <w:sz w:val="22"/>
                <w:szCs w:val="22"/>
              </w:rPr>
              <w:t>to facilitat</w:t>
            </w:r>
            <w:r w:rsidR="0A71B86E" w:rsidRPr="075B6382">
              <w:rPr>
                <w:rFonts w:eastAsia="Brush Script MT"/>
                <w:sz w:val="22"/>
                <w:szCs w:val="22"/>
              </w:rPr>
              <w:t>ing</w:t>
            </w:r>
            <w:r w:rsidRPr="075B6382">
              <w:rPr>
                <w:rFonts w:eastAsia="Brush Script MT"/>
                <w:sz w:val="22"/>
                <w:szCs w:val="22"/>
              </w:rPr>
              <w:t xml:space="preserve"> </w:t>
            </w:r>
            <w:r w:rsidR="7BCE9BD8" w:rsidRPr="075B6382">
              <w:rPr>
                <w:rFonts w:eastAsia="Brush Script MT"/>
                <w:sz w:val="22"/>
                <w:szCs w:val="22"/>
              </w:rPr>
              <w:t xml:space="preserve">a </w:t>
            </w:r>
            <w:r w:rsidRPr="075B6382">
              <w:rPr>
                <w:rFonts w:eastAsia="Brush Script MT"/>
                <w:sz w:val="22"/>
                <w:szCs w:val="22"/>
              </w:rPr>
              <w:t xml:space="preserve">more regular focus on gender </w:t>
            </w:r>
            <w:r w:rsidR="635D389E" w:rsidRPr="075B6382">
              <w:rPr>
                <w:rFonts w:eastAsia="Brush Script MT"/>
                <w:sz w:val="22"/>
                <w:szCs w:val="22"/>
              </w:rPr>
              <w:t xml:space="preserve">equality and women’s empowerment issues </w:t>
            </w:r>
            <w:r w:rsidRPr="075B6382">
              <w:rPr>
                <w:rFonts w:eastAsia="Brush Script MT"/>
                <w:sz w:val="22"/>
                <w:szCs w:val="22"/>
              </w:rPr>
              <w:t>at the highest levels in line with meeting requirements for Performance Indicator 4.1 (criterion a).</w:t>
            </w:r>
          </w:p>
          <w:p w14:paraId="091BCA6F" w14:textId="77777777" w:rsidR="00E65254" w:rsidRPr="00191295" w:rsidRDefault="00E65254" w:rsidP="00271DA6">
            <w:pPr>
              <w:rPr>
                <w:rFonts w:eastAsia="Brush Script MT" w:cstheme="minorHAnsi"/>
                <w:sz w:val="22"/>
                <w:szCs w:val="22"/>
              </w:rPr>
            </w:pPr>
          </w:p>
        </w:tc>
      </w:tr>
      <w:tr w:rsidR="00E65254" w14:paraId="7B5C74AC" w14:textId="77777777" w:rsidTr="075B6382">
        <w:tc>
          <w:tcPr>
            <w:tcW w:w="9350" w:type="dxa"/>
            <w:gridSpan w:val="4"/>
            <w:shd w:val="clear" w:color="auto" w:fill="auto"/>
          </w:tcPr>
          <w:p w14:paraId="301A4882" w14:textId="77777777" w:rsidR="00E65254" w:rsidRPr="00BA69FC" w:rsidRDefault="00E65254" w:rsidP="00271DA6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5254" w:rsidRPr="00B23671" w14:paraId="5FA8F89E" w14:textId="77777777" w:rsidTr="075B6382">
        <w:tc>
          <w:tcPr>
            <w:tcW w:w="9350" w:type="dxa"/>
            <w:gridSpan w:val="4"/>
            <w:shd w:val="clear" w:color="auto" w:fill="FC0C8A"/>
          </w:tcPr>
          <w:p w14:paraId="24F4D556" w14:textId="77777777" w:rsidR="00E65254" w:rsidRPr="00B23671" w:rsidRDefault="00E65254" w:rsidP="00271DA6">
            <w:pPr>
              <w:jc w:val="center"/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1ADB45D">
              <w:rPr>
                <w:rFonts w:ascii="Calibri" w:eastAsia="Brush Script MT" w:hAnsi="Calibri" w:cs="Calibri"/>
                <w:b/>
                <w:bCs/>
                <w:color w:val="FFFFFF" w:themeColor="background1"/>
                <w:sz w:val="28"/>
                <w:szCs w:val="28"/>
              </w:rPr>
              <w:t>Performance Indicator 4.1 Leadership</w:t>
            </w:r>
          </w:p>
        </w:tc>
      </w:tr>
      <w:tr w:rsidR="00E65254" w:rsidRPr="00B23671" w14:paraId="6CD5F71D" w14:textId="77777777" w:rsidTr="075B6382">
        <w:trPr>
          <w:trHeight w:val="467"/>
        </w:trPr>
        <w:tc>
          <w:tcPr>
            <w:tcW w:w="3116" w:type="dxa"/>
            <w:shd w:val="clear" w:color="auto" w:fill="FF99FF"/>
          </w:tcPr>
          <w:p w14:paraId="70569DF6" w14:textId="77777777" w:rsidR="00E65254" w:rsidRPr="00722CFF" w:rsidRDefault="00E65254" w:rsidP="00271DA6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722CFF">
              <w:rPr>
                <w:b/>
                <w:bCs/>
                <w:sz w:val="22"/>
                <w:szCs w:val="22"/>
              </w:rPr>
              <w:t>Approaches Minimum Requirements</w:t>
            </w:r>
          </w:p>
        </w:tc>
        <w:tc>
          <w:tcPr>
            <w:tcW w:w="3117" w:type="dxa"/>
            <w:gridSpan w:val="2"/>
            <w:shd w:val="clear" w:color="auto" w:fill="FF99FF"/>
          </w:tcPr>
          <w:p w14:paraId="45F6DB08" w14:textId="77777777" w:rsidR="00E65254" w:rsidRPr="00722CFF" w:rsidRDefault="00E65254" w:rsidP="00271DA6">
            <w:pPr>
              <w:jc w:val="center"/>
              <w:rPr>
                <w:b/>
                <w:bCs/>
                <w:sz w:val="22"/>
                <w:szCs w:val="22"/>
              </w:rPr>
            </w:pPr>
            <w:r w:rsidRPr="00722CFF">
              <w:rPr>
                <w:b/>
                <w:bCs/>
                <w:sz w:val="22"/>
                <w:szCs w:val="22"/>
              </w:rPr>
              <w:t>Meets Minimum</w:t>
            </w:r>
          </w:p>
          <w:p w14:paraId="2A3D94B4" w14:textId="77777777" w:rsidR="00E65254" w:rsidRPr="00722CFF" w:rsidRDefault="00E65254" w:rsidP="00271DA6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722CFF"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3117" w:type="dxa"/>
            <w:shd w:val="clear" w:color="auto" w:fill="FF99FF"/>
          </w:tcPr>
          <w:p w14:paraId="177E8C38" w14:textId="77777777" w:rsidR="00E65254" w:rsidRPr="00722CFF" w:rsidRDefault="00E65254" w:rsidP="00271DA6">
            <w:pPr>
              <w:jc w:val="center"/>
              <w:rPr>
                <w:rFonts w:ascii="Forte" w:eastAsia="Brush Script MT" w:hAnsi="Forte" w:cs="Brush Script MT"/>
                <w:b/>
                <w:bCs/>
                <w:sz w:val="28"/>
                <w:szCs w:val="28"/>
              </w:rPr>
            </w:pPr>
            <w:r w:rsidRPr="00722CFF">
              <w:rPr>
                <w:b/>
                <w:bCs/>
                <w:sz w:val="22"/>
                <w:szCs w:val="22"/>
              </w:rPr>
              <w:t>Exceeds Minimum Requirements</w:t>
            </w:r>
          </w:p>
        </w:tc>
      </w:tr>
      <w:tr w:rsidR="00E65254" w:rsidRPr="00954248" w14:paraId="36C24FF7" w14:textId="77777777" w:rsidTr="075B6382">
        <w:tc>
          <w:tcPr>
            <w:tcW w:w="3116" w:type="dxa"/>
            <w:shd w:val="clear" w:color="auto" w:fill="FFCCFF"/>
          </w:tcPr>
          <w:p w14:paraId="67760B45" w14:textId="7BA9634A" w:rsidR="00E65254" w:rsidRPr="00065500" w:rsidRDefault="00E65254" w:rsidP="075B6382">
            <w:pPr>
              <w:rPr>
                <w:rStyle w:val="font-12"/>
                <w:rFonts w:eastAsiaTheme="minorEastAsia" w:cstheme="minorHAnsi"/>
                <w:sz w:val="22"/>
                <w:szCs w:val="22"/>
              </w:rPr>
            </w:pP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Meets </w:t>
            </w:r>
            <w:r w:rsidRPr="00065500">
              <w:rPr>
                <w:rStyle w:val="font-12"/>
                <w:rFonts w:eastAsiaTheme="minorEastAsia" w:cstheme="minorHAnsi"/>
                <w:b/>
                <w:bCs/>
                <w:sz w:val="22"/>
                <w:szCs w:val="22"/>
              </w:rPr>
              <w:t>two</w:t>
            </w: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 of the following:</w:t>
            </w:r>
            <w:r w:rsidR="00065500">
              <w:rPr>
                <w:rStyle w:val="font-12"/>
                <w:rFonts w:eastAsiaTheme="minorEastAsia" w:cstheme="minorHAnsi"/>
                <w:sz w:val="22"/>
                <w:szCs w:val="22"/>
              </w:rPr>
              <w:br/>
            </w:r>
          </w:p>
          <w:p w14:paraId="369B3A19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Gender equality is a regular topic of discussion in HOA meetings during the last 12 months.</w:t>
            </w:r>
          </w:p>
          <w:p w14:paraId="7C10975D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238BB32A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RC demonstrates public championing of gender equality during the last 12 months.</w:t>
            </w:r>
          </w:p>
          <w:p w14:paraId="416506C8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5BC20D28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c)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HOAs are seen by personnel as committed to gender equality in the workplace during the last 12 months.</w:t>
            </w:r>
          </w:p>
          <w:p w14:paraId="3E7FA3F4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41C19B1C" w14:textId="77777777" w:rsidR="00E65254" w:rsidRPr="00065500" w:rsidRDefault="00E65254" w:rsidP="075B6382">
            <w:pPr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d) 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>Gender equality is reflected in the Assessment of Results and Competencies (ARC) of UNCTs during the last 12 months.</w:t>
            </w:r>
          </w:p>
        </w:tc>
        <w:tc>
          <w:tcPr>
            <w:tcW w:w="3117" w:type="dxa"/>
            <w:gridSpan w:val="2"/>
            <w:shd w:val="clear" w:color="auto" w:fill="FFCCFF"/>
          </w:tcPr>
          <w:p w14:paraId="3B686859" w14:textId="02FC713E" w:rsidR="00E65254" w:rsidRPr="00065500" w:rsidRDefault="00E65254" w:rsidP="075B6382">
            <w:pPr>
              <w:rPr>
                <w:rStyle w:val="font-12"/>
                <w:rFonts w:eastAsiaTheme="minorEastAsia" w:cstheme="minorHAnsi"/>
                <w:sz w:val="22"/>
                <w:szCs w:val="22"/>
              </w:rPr>
            </w:pP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Meets </w:t>
            </w:r>
            <w:r w:rsidRPr="00065500">
              <w:rPr>
                <w:rStyle w:val="font-12"/>
                <w:rFonts w:eastAsiaTheme="minorEastAsia" w:cstheme="minorHAnsi"/>
                <w:b/>
                <w:bCs/>
                <w:sz w:val="22"/>
                <w:szCs w:val="22"/>
              </w:rPr>
              <w:t>three</w:t>
            </w: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 of the following:</w:t>
            </w:r>
            <w:r w:rsidR="00065500">
              <w:rPr>
                <w:rStyle w:val="font-12"/>
                <w:rFonts w:eastAsiaTheme="minorEastAsia" w:cstheme="minorHAnsi"/>
                <w:sz w:val="22"/>
                <w:szCs w:val="22"/>
              </w:rPr>
              <w:br/>
            </w:r>
          </w:p>
          <w:p w14:paraId="2F77FCBE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Gender equality is a regular topic of discussion in HOA meetings during the last 12 months.</w:t>
            </w:r>
          </w:p>
          <w:p w14:paraId="2927D9C5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78DA1EBF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RC demonstrates public championing of gender equality during the last 12 months.</w:t>
            </w:r>
          </w:p>
          <w:p w14:paraId="62DA90D4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75F2F033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c)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HOAs are seen by personnel as committed to gender equality in the workplace during the last 12 months.</w:t>
            </w:r>
          </w:p>
          <w:p w14:paraId="03F5D6E8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094237DC" w14:textId="77777777" w:rsidR="00E65254" w:rsidRPr="00065500" w:rsidRDefault="00E65254" w:rsidP="075B6382">
            <w:pPr>
              <w:contextualSpacing/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d) 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>Gender equality is reflected in the Assessment of Results and Competencies (ARC) of UNCTs during the last 12 months.</w:t>
            </w:r>
          </w:p>
        </w:tc>
        <w:tc>
          <w:tcPr>
            <w:tcW w:w="3117" w:type="dxa"/>
            <w:shd w:val="clear" w:color="auto" w:fill="FFCCFF"/>
          </w:tcPr>
          <w:p w14:paraId="4C65A187" w14:textId="2990F7F8" w:rsidR="00E65254" w:rsidRPr="00065500" w:rsidRDefault="00E65254" w:rsidP="075B6382">
            <w:pPr>
              <w:rPr>
                <w:rStyle w:val="font-12"/>
                <w:rFonts w:eastAsiaTheme="minorEastAsia" w:cstheme="minorHAnsi"/>
                <w:sz w:val="22"/>
                <w:szCs w:val="22"/>
              </w:rPr>
            </w:pP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Meets </w:t>
            </w:r>
            <w:proofErr w:type="gramStart"/>
            <w:r w:rsidRPr="00065500">
              <w:rPr>
                <w:rStyle w:val="font-12"/>
                <w:rFonts w:eastAsiaTheme="minorEastAsia" w:cstheme="minorHAnsi"/>
                <w:b/>
                <w:bCs/>
                <w:sz w:val="22"/>
                <w:szCs w:val="22"/>
              </w:rPr>
              <w:t xml:space="preserve">all </w:t>
            </w:r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>of</w:t>
            </w:r>
            <w:proofErr w:type="gramEnd"/>
            <w:r w:rsidRPr="00065500">
              <w:rPr>
                <w:rStyle w:val="font-12"/>
                <w:rFonts w:eastAsiaTheme="minorEastAsia" w:cstheme="minorHAnsi"/>
                <w:sz w:val="22"/>
                <w:szCs w:val="22"/>
              </w:rPr>
              <w:t xml:space="preserve"> the following:</w:t>
            </w:r>
            <w:r w:rsidR="00065500">
              <w:rPr>
                <w:rStyle w:val="font-12"/>
                <w:rFonts w:eastAsiaTheme="minorEastAsia" w:cstheme="minorHAnsi"/>
                <w:sz w:val="22"/>
                <w:szCs w:val="22"/>
              </w:rPr>
              <w:br/>
            </w:r>
          </w:p>
          <w:p w14:paraId="71F29121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a)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Gender equality is a regular topic of discussion in HOA meetings during the last 12 months.</w:t>
            </w:r>
          </w:p>
          <w:p w14:paraId="01B69E12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55DACE69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b)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RC demonstrates public championing of gender equality during the last 12 months.</w:t>
            </w:r>
          </w:p>
          <w:p w14:paraId="462D82FD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5B070384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>c)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 xml:space="preserve"> HOAs are seen by personnel as committed to gender equality in the workplace during the last 12 months.</w:t>
            </w:r>
          </w:p>
          <w:p w14:paraId="371ED677" w14:textId="77777777" w:rsidR="00E65254" w:rsidRPr="00065500" w:rsidRDefault="00E65254" w:rsidP="075B6382">
            <w:pPr>
              <w:rPr>
                <w:rFonts w:eastAsiaTheme="minorEastAsia" w:cstheme="minorHAnsi"/>
                <w:sz w:val="22"/>
                <w:szCs w:val="22"/>
                <w:lang w:val="en-AU"/>
              </w:rPr>
            </w:pPr>
          </w:p>
          <w:p w14:paraId="35166235" w14:textId="77777777" w:rsidR="00E65254" w:rsidRPr="00065500" w:rsidRDefault="00E65254" w:rsidP="075B6382">
            <w:pPr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 w:rsidRPr="00065500">
              <w:rPr>
                <w:rFonts w:eastAsiaTheme="minorEastAsia" w:cstheme="minorHAnsi"/>
                <w:b/>
                <w:bCs/>
                <w:sz w:val="22"/>
                <w:szCs w:val="22"/>
                <w:lang w:val="en-AU"/>
              </w:rPr>
              <w:t xml:space="preserve">d) </w:t>
            </w:r>
            <w:r w:rsidRPr="00065500">
              <w:rPr>
                <w:rFonts w:eastAsiaTheme="minorEastAsia" w:cstheme="minorHAnsi"/>
                <w:sz w:val="22"/>
                <w:szCs w:val="22"/>
                <w:lang w:val="en-AU"/>
              </w:rPr>
              <w:t>Gender equality is reflected in the Assessment of Results and Competencies (ARC) of UNCTs during the last 12 months.</w:t>
            </w:r>
          </w:p>
        </w:tc>
      </w:tr>
    </w:tbl>
    <w:p w14:paraId="57827FDC" w14:textId="77777777" w:rsidR="00E65254" w:rsidRDefault="00E65254"/>
    <w:p w14:paraId="446FFF8D" w14:textId="77777777" w:rsidR="00E65254" w:rsidRDefault="00E65254"/>
    <w:p w14:paraId="01067E1C" w14:textId="3985B186" w:rsidR="008E09D0" w:rsidRDefault="008E09D0" w:rsidP="00065500"/>
    <w:p w14:paraId="58F836A6" w14:textId="77777777" w:rsidR="00065500" w:rsidRDefault="00065500" w:rsidP="00065500">
      <w:pPr>
        <w:rPr>
          <w:b/>
          <w:bCs/>
          <w:u w:val="single"/>
        </w:rPr>
      </w:pPr>
    </w:p>
    <w:p w14:paraId="0AE1EDF3" w14:textId="77777777" w:rsidR="008E09D0" w:rsidRDefault="008E09D0" w:rsidP="0086427C">
      <w:pPr>
        <w:jc w:val="center"/>
        <w:rPr>
          <w:b/>
          <w:bCs/>
          <w:u w:val="single"/>
        </w:rPr>
      </w:pPr>
    </w:p>
    <w:p w14:paraId="72B0C481" w14:textId="77777777" w:rsidR="008E09D0" w:rsidRDefault="008E09D0" w:rsidP="0086427C">
      <w:pPr>
        <w:jc w:val="center"/>
        <w:rPr>
          <w:b/>
          <w:bCs/>
          <w:u w:val="single"/>
        </w:rPr>
      </w:pPr>
    </w:p>
    <w:p w14:paraId="73D65AF0" w14:textId="1872443E" w:rsidR="00F96EFD" w:rsidRPr="0086427C" w:rsidRDefault="0086427C" w:rsidP="0086427C">
      <w:pPr>
        <w:jc w:val="center"/>
        <w:rPr>
          <w:b/>
          <w:bCs/>
        </w:rPr>
      </w:pPr>
      <w:r w:rsidRPr="2E4DD884">
        <w:rPr>
          <w:b/>
          <w:bCs/>
          <w:u w:val="single"/>
        </w:rPr>
        <w:lastRenderedPageBreak/>
        <w:t>Good Practice Including Gender in UNCT HOA Meetings</w:t>
      </w:r>
    </w:p>
    <w:p w14:paraId="6DC76B57" w14:textId="1B6EAF1A" w:rsidR="3EC40947" w:rsidRDefault="3EC40947" w:rsidP="2E4DD884">
      <w:pPr>
        <w:jc w:val="center"/>
        <w:rPr>
          <w:b/>
          <w:bCs/>
          <w:i/>
          <w:iCs/>
        </w:rPr>
      </w:pPr>
      <w:r w:rsidRPr="2E4DD884">
        <w:rPr>
          <w:b/>
          <w:bCs/>
          <w:i/>
          <w:iCs/>
        </w:rPr>
        <w:t>Developed for UNCT-SWAP Toolkit (2020)</w:t>
      </w:r>
    </w:p>
    <w:p w14:paraId="0E61428F" w14:textId="44431249" w:rsidR="0086427C" w:rsidRDefault="0086427C"/>
    <w:p w14:paraId="5F793A1F" w14:textId="20C21A54" w:rsidR="0086427C" w:rsidRDefault="0086427C">
      <w:r>
        <w:t xml:space="preserve">The UNCT-SWAP Scorecard Performance Indicator 4.1 Leadership includes a criterion for gender equality to be included in </w:t>
      </w:r>
      <w:r w:rsidR="4BE36BB7">
        <w:t>HOA meetings</w:t>
      </w:r>
      <w:r>
        <w:t xml:space="preserve"> as a regular topic of discussion</w:t>
      </w:r>
      <w:r w:rsidR="13C1AFEC">
        <w:t xml:space="preserve"> (criterion a)</w:t>
      </w:r>
      <w:r>
        <w:t xml:space="preserve">.  The criterion is assessed on the basis of reviewing HOA meeting minutes over the 12 months preceding the assessment.  </w:t>
      </w:r>
    </w:p>
    <w:p w14:paraId="485A00AF" w14:textId="77777777" w:rsidR="0086427C" w:rsidRDefault="0086427C"/>
    <w:p w14:paraId="5C21460C" w14:textId="5C53827F" w:rsidR="0086427C" w:rsidRDefault="0086427C">
      <w:r>
        <w:t>A number of different approaches have been included in Action Plans to facilitate more consistent high</w:t>
      </w:r>
      <w:r w:rsidR="103D77EC">
        <w:t>-</w:t>
      </w:r>
      <w:r>
        <w:t>level engagement on GEWE in line with the Performance Indicator requirements.  Examples include:</w:t>
      </w:r>
    </w:p>
    <w:p w14:paraId="4423E00F" w14:textId="2F57885A" w:rsidR="0086427C" w:rsidRDefault="0086427C"/>
    <w:p w14:paraId="4C16A38F" w14:textId="167E04A2" w:rsidR="0086427C" w:rsidRDefault="458B0E6D" w:rsidP="075B638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Reflecting </w:t>
      </w:r>
      <w:r w:rsidR="6964CA79">
        <w:t>Gender equality and women’s empowerment</w:t>
      </w:r>
      <w:r>
        <w:t xml:space="preserve"> </w:t>
      </w:r>
      <w:r w:rsidR="488C531F">
        <w:t>(</w:t>
      </w:r>
      <w:r w:rsidR="0086427C">
        <w:t>GEWE</w:t>
      </w:r>
      <w:r w:rsidR="2598C4E0">
        <w:t>)</w:t>
      </w:r>
      <w:r w:rsidR="0086427C">
        <w:t xml:space="preserve"> as a standing agenda item</w:t>
      </w:r>
      <w:r w:rsidR="2C362D36">
        <w:t xml:space="preserve"> in the UNCT’s agenda</w:t>
      </w:r>
      <w:r w:rsidR="0086427C">
        <w:t>;</w:t>
      </w:r>
    </w:p>
    <w:p w14:paraId="2B4523DB" w14:textId="40CB3353" w:rsidR="0086427C" w:rsidRDefault="5669F57E" w:rsidP="0086427C">
      <w:pPr>
        <w:pStyle w:val="ListParagraph"/>
        <w:numPr>
          <w:ilvl w:val="0"/>
          <w:numId w:val="1"/>
        </w:numPr>
      </w:pPr>
      <w:r>
        <w:t>P</w:t>
      </w:r>
      <w:r w:rsidR="0086427C">
        <w:t xml:space="preserve">ositioning GEWE as part of a broader standing agenda item such as </w:t>
      </w:r>
      <w:r w:rsidR="15C6FF74">
        <w:t>”</w:t>
      </w:r>
      <w:r w:rsidR="69EA3625">
        <w:t>H</w:t>
      </w:r>
      <w:r w:rsidR="0086427C">
        <w:t xml:space="preserve">uman </w:t>
      </w:r>
      <w:r w:rsidR="221924DD">
        <w:t>R</w:t>
      </w:r>
      <w:r w:rsidR="0086427C">
        <w:t xml:space="preserve">ights and </w:t>
      </w:r>
      <w:r w:rsidR="18D2EB6D">
        <w:t>G</w:t>
      </w:r>
      <w:r w:rsidR="0086427C">
        <w:t>ender equality</w:t>
      </w:r>
      <w:r w:rsidR="542D78AE">
        <w:t xml:space="preserve"> and women’s empowerment</w:t>
      </w:r>
      <w:r w:rsidR="5E5C349C">
        <w:t>”</w:t>
      </w:r>
      <w:r w:rsidR="0086427C">
        <w:t xml:space="preserve"> </w:t>
      </w:r>
      <w:r w:rsidR="0BBBC93D">
        <w:t>or “GEWE and other cross-cutting issues”</w:t>
      </w:r>
      <w:r w:rsidR="0086427C">
        <w:t>;</w:t>
      </w:r>
    </w:p>
    <w:p w14:paraId="6B268DDC" w14:textId="634F05FC" w:rsidR="0086427C" w:rsidRDefault="3FA8AA2B" w:rsidP="0086427C">
      <w:pPr>
        <w:pStyle w:val="ListParagraph"/>
        <w:numPr>
          <w:ilvl w:val="0"/>
          <w:numId w:val="1"/>
        </w:numPr>
      </w:pPr>
      <w:r>
        <w:t>S</w:t>
      </w:r>
      <w:r w:rsidR="0086427C">
        <w:t>cheduling GTG briefings</w:t>
      </w:r>
      <w:r w:rsidR="550037B8">
        <w:t xml:space="preserve"> with the</w:t>
      </w:r>
      <w:r w:rsidR="0086427C">
        <w:t xml:space="preserve"> UNCT</w:t>
      </w:r>
      <w:r w:rsidR="60A4CBCD">
        <w:t xml:space="preserve">, </w:t>
      </w:r>
      <w:r w:rsidR="0086427C">
        <w:t>annually or semi-annually;</w:t>
      </w:r>
    </w:p>
    <w:p w14:paraId="2EB9AF39" w14:textId="1FCFDE24" w:rsidR="0086427C" w:rsidRDefault="41A595B8" w:rsidP="0086427C">
      <w:pPr>
        <w:pStyle w:val="ListParagraph"/>
        <w:numPr>
          <w:ilvl w:val="0"/>
          <w:numId w:val="1"/>
        </w:numPr>
      </w:pPr>
      <w:r>
        <w:t>S</w:t>
      </w:r>
      <w:r w:rsidR="0086427C">
        <w:t xml:space="preserve">cheduling one or more dedicated </w:t>
      </w:r>
      <w:r w:rsidR="5057C84D">
        <w:t>GEWE</w:t>
      </w:r>
      <w:r w:rsidR="0086427C">
        <w:t>-focused UNCT meetings per year;</w:t>
      </w:r>
      <w:r w:rsidR="73B20C98">
        <w:t xml:space="preserve"> and</w:t>
      </w:r>
    </w:p>
    <w:p w14:paraId="07B63C15" w14:textId="2A26B0F6" w:rsidR="0086427C" w:rsidRDefault="2809AFAB" w:rsidP="0086427C">
      <w:pPr>
        <w:pStyle w:val="ListParagraph"/>
        <w:numPr>
          <w:ilvl w:val="0"/>
          <w:numId w:val="1"/>
        </w:numPr>
      </w:pPr>
      <w:r>
        <w:t>E</w:t>
      </w:r>
      <w:r w:rsidR="0086427C">
        <w:t>nsuring time is allocated for gender discussion at UNCT annual retreats.</w:t>
      </w:r>
    </w:p>
    <w:p w14:paraId="790352E1" w14:textId="10B18043" w:rsidR="0086427C" w:rsidRDefault="0086427C" w:rsidP="0086427C"/>
    <w:p w14:paraId="04923B59" w14:textId="56CB20C1" w:rsidR="0086427C" w:rsidRDefault="0086427C" w:rsidP="0086427C">
      <w:r>
        <w:t xml:space="preserve">UNCT-SWAP </w:t>
      </w:r>
      <w:r w:rsidR="6E2C1553">
        <w:t xml:space="preserve">Gender Equality Scorecard </w:t>
      </w:r>
      <w:r w:rsidR="4D92150E">
        <w:t xml:space="preserve">comprehensive assessment </w:t>
      </w:r>
      <w:r>
        <w:t>Action Plans assign responsibilities for actions to various inter-agency groups.  Some UNCTs have periodically included</w:t>
      </w:r>
      <w:r w:rsidR="4C875434">
        <w:t>,</w:t>
      </w:r>
      <w:r>
        <w:t xml:space="preserve"> in agendas</w:t>
      </w:r>
      <w:r w:rsidR="3C97BC51">
        <w:t>,</w:t>
      </w:r>
      <w:r>
        <w:t xml:space="preserve"> reports from inter-agency groups on progress toward Action Plan items as a means of facilitating broader ownership and discussion on gender at the highest levels. For example, the head of the O</w:t>
      </w:r>
      <w:r w:rsidR="5D34B913">
        <w:t xml:space="preserve">perations </w:t>
      </w:r>
      <w:r>
        <w:t>M</w:t>
      </w:r>
      <w:r w:rsidR="1A2FD3CD">
        <w:t xml:space="preserve">anagement </w:t>
      </w:r>
      <w:r>
        <w:t>T</w:t>
      </w:r>
      <w:r w:rsidR="754622D4">
        <w:t xml:space="preserve">eam (OMT) </w:t>
      </w:r>
      <w:r>
        <w:t>may report on gender parity and gender integration in the B</w:t>
      </w:r>
      <w:r w:rsidR="5206624A">
        <w:t xml:space="preserve">usiness </w:t>
      </w:r>
      <w:r>
        <w:t>O</w:t>
      </w:r>
      <w:r w:rsidR="1F333B0D">
        <w:t xml:space="preserve">perations </w:t>
      </w:r>
      <w:r>
        <w:t>S</w:t>
      </w:r>
      <w:r w:rsidR="6E5261C4">
        <w:t>trategy (BOS)</w:t>
      </w:r>
      <w:r>
        <w:t>, the RCO may report on application of the UNCT Gender Equality Marker in J</w:t>
      </w:r>
      <w:r w:rsidR="5C290FA4">
        <w:t xml:space="preserve">oint </w:t>
      </w:r>
      <w:r>
        <w:t>W</w:t>
      </w:r>
      <w:r w:rsidR="2AE04968">
        <w:t xml:space="preserve">ork </w:t>
      </w:r>
      <w:r>
        <w:t>P</w:t>
      </w:r>
      <w:r w:rsidR="0D2801E0">
        <w:t>lan</w:t>
      </w:r>
      <w:r>
        <w:t>s</w:t>
      </w:r>
      <w:r w:rsidR="545761D8">
        <w:t xml:space="preserve"> (JWPs)</w:t>
      </w:r>
      <w:r>
        <w:t>, and the head of the M&amp;E group may report on developing capacities for gender</w:t>
      </w:r>
      <w:r w:rsidR="68E92DE4">
        <w:t>-</w:t>
      </w:r>
      <w:r>
        <w:t xml:space="preserve">sensitive M&amp;E in common frameworks. </w:t>
      </w:r>
    </w:p>
    <w:p w14:paraId="47807AD5" w14:textId="77777777" w:rsidR="0086427C" w:rsidRDefault="0086427C" w:rsidP="0086427C"/>
    <w:p w14:paraId="016BAFB0" w14:textId="77777777" w:rsidR="0086427C" w:rsidRDefault="0086427C"/>
    <w:sectPr w:rsidR="0086427C" w:rsidSect="002E1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08D"/>
    <w:multiLevelType w:val="hybridMultilevel"/>
    <w:tmpl w:val="D6260200"/>
    <w:lvl w:ilvl="0" w:tplc="73B2D18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7C"/>
    <w:rsid w:val="00065500"/>
    <w:rsid w:val="00107F62"/>
    <w:rsid w:val="00271DA6"/>
    <w:rsid w:val="002E10ED"/>
    <w:rsid w:val="003DD3B0"/>
    <w:rsid w:val="0086427C"/>
    <w:rsid w:val="008E09D0"/>
    <w:rsid w:val="00AC1814"/>
    <w:rsid w:val="00E65254"/>
    <w:rsid w:val="00F96EFD"/>
    <w:rsid w:val="041884F6"/>
    <w:rsid w:val="075B6382"/>
    <w:rsid w:val="0A71B86E"/>
    <w:rsid w:val="0BBBC93D"/>
    <w:rsid w:val="0D2801E0"/>
    <w:rsid w:val="103D77EC"/>
    <w:rsid w:val="10BB23CA"/>
    <w:rsid w:val="13C1AFEC"/>
    <w:rsid w:val="152261F8"/>
    <w:rsid w:val="15C6FF74"/>
    <w:rsid w:val="18A82352"/>
    <w:rsid w:val="18D2EB6D"/>
    <w:rsid w:val="1A2FD3CD"/>
    <w:rsid w:val="1BAB106D"/>
    <w:rsid w:val="1F333B0D"/>
    <w:rsid w:val="221924DD"/>
    <w:rsid w:val="2598C4E0"/>
    <w:rsid w:val="2809AFAB"/>
    <w:rsid w:val="284DB8FC"/>
    <w:rsid w:val="2AE04968"/>
    <w:rsid w:val="2BD03AC4"/>
    <w:rsid w:val="2C362D36"/>
    <w:rsid w:val="2C9B8A39"/>
    <w:rsid w:val="2DB0BC9B"/>
    <w:rsid w:val="2E4DD884"/>
    <w:rsid w:val="33A19E54"/>
    <w:rsid w:val="33D1449B"/>
    <w:rsid w:val="3AE6F48D"/>
    <w:rsid w:val="3C97BC51"/>
    <w:rsid w:val="3EC40947"/>
    <w:rsid w:val="3FA8AA2B"/>
    <w:rsid w:val="41A595B8"/>
    <w:rsid w:val="458B0E6D"/>
    <w:rsid w:val="488C531F"/>
    <w:rsid w:val="4BE36BB7"/>
    <w:rsid w:val="4C875434"/>
    <w:rsid w:val="4D681111"/>
    <w:rsid w:val="4D92150E"/>
    <w:rsid w:val="4FD50F5B"/>
    <w:rsid w:val="5057C84D"/>
    <w:rsid w:val="5206624A"/>
    <w:rsid w:val="53FF03D2"/>
    <w:rsid w:val="542D78AE"/>
    <w:rsid w:val="545761D8"/>
    <w:rsid w:val="550037B8"/>
    <w:rsid w:val="55D91BB8"/>
    <w:rsid w:val="5669F57E"/>
    <w:rsid w:val="5C290FA4"/>
    <w:rsid w:val="5D34B913"/>
    <w:rsid w:val="5E1547FE"/>
    <w:rsid w:val="5E2B937B"/>
    <w:rsid w:val="5E5C349C"/>
    <w:rsid w:val="5F4325B7"/>
    <w:rsid w:val="60A4CBCD"/>
    <w:rsid w:val="619C709F"/>
    <w:rsid w:val="627AC679"/>
    <w:rsid w:val="635D389E"/>
    <w:rsid w:val="6773F81F"/>
    <w:rsid w:val="68E92DE4"/>
    <w:rsid w:val="6964CA79"/>
    <w:rsid w:val="69EA3625"/>
    <w:rsid w:val="6B49BD66"/>
    <w:rsid w:val="6E2C1553"/>
    <w:rsid w:val="6E5261C4"/>
    <w:rsid w:val="70D66302"/>
    <w:rsid w:val="73B20C98"/>
    <w:rsid w:val="754622D4"/>
    <w:rsid w:val="78EEF0F0"/>
    <w:rsid w:val="7908194D"/>
    <w:rsid w:val="79DAC65D"/>
    <w:rsid w:val="7A9D2E95"/>
    <w:rsid w:val="7BCE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0CCD"/>
  <w15:chartTrackingRefBased/>
  <w15:docId w15:val="{8B03A6B6-5CE7-46E8-B13D-72EB061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7C"/>
    <w:pPr>
      <w:ind w:left="720"/>
      <w:contextualSpacing/>
    </w:pPr>
  </w:style>
  <w:style w:type="table" w:styleId="TableGrid">
    <w:name w:val="Table Grid"/>
    <w:basedOn w:val="TableNormal"/>
    <w:uiPriority w:val="39"/>
    <w:rsid w:val="00E6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12">
    <w:name w:val="font-12"/>
    <w:basedOn w:val="DefaultParagraphFont"/>
    <w:rsid w:val="00E65254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7CBFF-546C-44D1-92AB-A37F6EED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8f6cf-469e-4c31-af3f-aa47f9e0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07462-A86A-4541-BEF1-E41C0E0AF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DFD04-473F-4A6C-ADD9-164D6C4099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Denise Laaveri</cp:lastModifiedBy>
  <cp:revision>10</cp:revision>
  <dcterms:created xsi:type="dcterms:W3CDTF">2020-11-23T04:35:00Z</dcterms:created>
  <dcterms:modified xsi:type="dcterms:W3CDTF">2021-02-18T08:45:00Z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