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7544" w14:textId="77777777" w:rsidR="00536559" w:rsidRPr="0087034B" w:rsidRDefault="0053655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79"/>
        <w:gridCol w:w="2638"/>
        <w:gridCol w:w="3117"/>
      </w:tblGrid>
      <w:tr w:rsidR="001B30CB" w:rsidRPr="001B30CB" w14:paraId="43F1EEC4" w14:textId="77777777" w:rsidTr="008266B8">
        <w:tc>
          <w:tcPr>
            <w:tcW w:w="9350" w:type="dxa"/>
            <w:gridSpan w:val="4"/>
            <w:shd w:val="clear" w:color="auto" w:fill="70AD47" w:themeFill="accent6"/>
          </w:tcPr>
          <w:p w14:paraId="3520BCA6" w14:textId="77777777" w:rsidR="001B30CB" w:rsidRPr="001B30CB" w:rsidRDefault="001B30CB" w:rsidP="008266B8">
            <w:pPr>
              <w:jc w:val="center"/>
              <w:rPr>
                <w:rFonts w:asciiTheme="minorHAnsi" w:eastAsia="Brush Script MT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B30CB">
              <w:rPr>
                <w:rFonts w:asciiTheme="minorHAnsi" w:eastAsia="Brush Script MT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UNCT-SWAP Gender Equality Scorecard Toolkit Resource</w:t>
            </w:r>
          </w:p>
        </w:tc>
      </w:tr>
      <w:tr w:rsidR="001B30CB" w14:paraId="3F519542" w14:textId="77777777" w:rsidTr="008266B8">
        <w:tc>
          <w:tcPr>
            <w:tcW w:w="3595" w:type="dxa"/>
            <w:gridSpan w:val="2"/>
            <w:shd w:val="clear" w:color="auto" w:fill="E2EFD9" w:themeFill="accent6" w:themeFillTint="33"/>
          </w:tcPr>
          <w:p w14:paraId="3361B377" w14:textId="77777777" w:rsidR="001B30CB" w:rsidRPr="00151947" w:rsidRDefault="001B30CB" w:rsidP="001B30CB">
            <w:pPr>
              <w:jc w:val="both"/>
              <w:rPr>
                <w:rFonts w:ascii="Forte" w:eastAsia="Brush Script MT" w:hAnsi="Forte" w:cs="Brush Script MT"/>
                <w:sz w:val="28"/>
                <w:szCs w:val="28"/>
              </w:rPr>
            </w:pPr>
            <w:r w:rsidRPr="00151947">
              <w:rPr>
                <w:rFonts w:ascii="Forte" w:eastAsia="Brush Script MT" w:hAnsi="Forte" w:cs="Brush Script MT"/>
                <w:sz w:val="28"/>
                <w:szCs w:val="28"/>
              </w:rPr>
              <w:t>What?</w:t>
            </w:r>
          </w:p>
          <w:p w14:paraId="462EA30A" w14:textId="77777777" w:rsidR="001B30CB" w:rsidRPr="001B30CB" w:rsidRDefault="001B30CB" w:rsidP="001B30CB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B30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Quality assurance tool</w:t>
            </w:r>
            <w:r w:rsidRPr="001B30CB">
              <w:rPr>
                <w:rFonts w:asciiTheme="minorHAnsi" w:hAnsiTheme="minorHAnsi" w:cstheme="minorHAnsi"/>
                <w:sz w:val="22"/>
                <w:szCs w:val="22"/>
              </w:rPr>
              <w:t xml:space="preserve"> for UN Country Team (UNCT) inter-agency Results Groups (RGs) and/or Gender Theme Groups (GTGs) in reviewing Joint Programs in line with indicator 2.1 of the UNCT SWAP Gender Equality scorecard</w:t>
            </w:r>
            <w:r w:rsidRPr="001B30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</w:t>
            </w:r>
          </w:p>
          <w:p w14:paraId="06318310" w14:textId="77777777" w:rsidR="001B30CB" w:rsidRPr="001B30CB" w:rsidRDefault="001B30CB" w:rsidP="001B30CB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347DBAC7" w14:textId="77777777" w:rsidR="001B30CB" w:rsidRPr="001B30CB" w:rsidRDefault="001B30CB" w:rsidP="001B30CB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B30CB">
              <w:rPr>
                <w:rFonts w:asciiTheme="minorHAnsi" w:hAnsiTheme="minorHAnsi" w:cstheme="minorHAnsi"/>
                <w:sz w:val="22"/>
                <w:szCs w:val="22"/>
              </w:rPr>
              <w:t xml:space="preserve">This tool is has been </w:t>
            </w:r>
            <w:r w:rsidRPr="001B30C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adapted for the UNCT-SWAP Toolkit from </w:t>
            </w:r>
            <w:r w:rsidRPr="001B30CB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Making Joint Gender Programmes Work</w:t>
            </w:r>
            <w:r w:rsidRPr="001B30C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(UNDP 2017).</w:t>
            </w:r>
          </w:p>
          <w:p w14:paraId="56734673" w14:textId="77777777" w:rsidR="001B30CB" w:rsidRPr="004F5348" w:rsidRDefault="001B30CB" w:rsidP="001B30C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F6281AC" w14:textId="77777777" w:rsidR="001B30CB" w:rsidRDefault="001B30CB" w:rsidP="001B30CB">
            <w:pPr>
              <w:jc w:val="both"/>
              <w:rPr>
                <w:sz w:val="22"/>
                <w:szCs w:val="22"/>
              </w:rPr>
            </w:pPr>
          </w:p>
          <w:p w14:paraId="2115596F" w14:textId="77777777" w:rsidR="001B30CB" w:rsidRDefault="001B30CB" w:rsidP="001B30CB">
            <w:pPr>
              <w:jc w:val="both"/>
            </w:pPr>
          </w:p>
          <w:p w14:paraId="4B14C8C5" w14:textId="77777777" w:rsidR="001B30CB" w:rsidRDefault="001B30CB" w:rsidP="001B30CB">
            <w:pPr>
              <w:jc w:val="both"/>
            </w:pPr>
          </w:p>
        </w:tc>
        <w:tc>
          <w:tcPr>
            <w:tcW w:w="5755" w:type="dxa"/>
            <w:gridSpan w:val="2"/>
            <w:shd w:val="clear" w:color="auto" w:fill="C5E0B3" w:themeFill="accent6" w:themeFillTint="66"/>
          </w:tcPr>
          <w:p w14:paraId="77671869" w14:textId="77777777" w:rsidR="001B30CB" w:rsidRDefault="001B30CB" w:rsidP="001B30CB">
            <w:pPr>
              <w:jc w:val="both"/>
              <w:rPr>
                <w:rFonts w:ascii="Forte" w:eastAsia="Brush Script MT" w:hAnsi="Forte" w:cs="Brush Script MT"/>
                <w:sz w:val="28"/>
                <w:szCs w:val="28"/>
              </w:rPr>
            </w:pPr>
            <w:r w:rsidRPr="00151947">
              <w:rPr>
                <w:rFonts w:ascii="Forte" w:eastAsia="Brush Script MT" w:hAnsi="Forte" w:cs="Brush Script MT"/>
                <w:sz w:val="28"/>
                <w:szCs w:val="28"/>
              </w:rPr>
              <w:t>Why?</w:t>
            </w:r>
          </w:p>
          <w:p w14:paraId="49207519" w14:textId="06A6F814" w:rsidR="001B30CB" w:rsidRDefault="001B30CB" w:rsidP="001B30CB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B30CB">
              <w:rPr>
                <w:rFonts w:asciiTheme="minorHAnsi" w:eastAsia="Brush Script MT" w:hAnsiTheme="minorHAnsi" w:cstheme="minorHAnsi"/>
                <w:sz w:val="22"/>
                <w:szCs w:val="22"/>
              </w:rPr>
              <w:t xml:space="preserve">This quality assurance tool to inform the development of UNCT’s joint programs, includes a checklist with consideration that can guide UNCTs agencies seeking to develop gender-responsive joint programmes. </w:t>
            </w:r>
            <w:r w:rsidRPr="001B30C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This document lays out ten principal steps to help guide the development of a Joint Programme in line with the minimum requirements for Performance Indicator 2.1 (criterion b).  </w:t>
            </w:r>
          </w:p>
          <w:p w14:paraId="4E87CC3D" w14:textId="77777777" w:rsidR="001B30CB" w:rsidRPr="001B30CB" w:rsidRDefault="001B30CB" w:rsidP="001B30CB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7D390AC8" w14:textId="5A934DAD" w:rsidR="001B30CB" w:rsidRPr="001B30CB" w:rsidRDefault="001B30CB" w:rsidP="001B30CB">
            <w:pPr>
              <w:jc w:val="both"/>
              <w:rPr>
                <w:rFonts w:asciiTheme="minorHAnsi" w:eastAsia="Brush Script MT" w:hAnsiTheme="minorHAnsi" w:cstheme="minorHAnsi"/>
                <w:sz w:val="22"/>
                <w:szCs w:val="22"/>
              </w:rPr>
            </w:pPr>
            <w:r w:rsidRPr="001B30CB">
              <w:rPr>
                <w:rFonts w:asciiTheme="minorHAnsi" w:eastAsiaTheme="minorEastAsia" w:hAnsiTheme="minorHAnsi" w:cstheme="minorHAnsi"/>
                <w:sz w:val="22"/>
                <w:szCs w:val="22"/>
              </w:rPr>
              <w:t>The resource also identifies success factors in implementing GEWE Joint Programs based on field experiences.</w:t>
            </w:r>
          </w:p>
          <w:p w14:paraId="105F9E89" w14:textId="77777777" w:rsidR="001B30CB" w:rsidRPr="00CA20BB" w:rsidRDefault="001B30CB" w:rsidP="001B30CB">
            <w:pPr>
              <w:jc w:val="both"/>
              <w:rPr>
                <w:rFonts w:eastAsia="Brush Script MT" w:cstheme="minorHAnsi"/>
                <w:sz w:val="22"/>
                <w:szCs w:val="22"/>
              </w:rPr>
            </w:pPr>
          </w:p>
        </w:tc>
      </w:tr>
      <w:tr w:rsidR="001B30CB" w:rsidRPr="004E52C7" w14:paraId="6DF67BD5" w14:textId="77777777" w:rsidTr="008266B8">
        <w:tc>
          <w:tcPr>
            <w:tcW w:w="9350" w:type="dxa"/>
            <w:gridSpan w:val="4"/>
            <w:shd w:val="clear" w:color="auto" w:fill="auto"/>
          </w:tcPr>
          <w:p w14:paraId="37D7D440" w14:textId="77777777" w:rsidR="001B30CB" w:rsidRPr="004E52C7" w:rsidRDefault="001B30CB" w:rsidP="008266B8">
            <w:pPr>
              <w:rPr>
                <w:rFonts w:eastAsia="Brush Script MT" w:cstheme="minorHAnsi"/>
                <w:b/>
                <w:bCs/>
                <w:sz w:val="21"/>
                <w:szCs w:val="21"/>
              </w:rPr>
            </w:pPr>
          </w:p>
        </w:tc>
      </w:tr>
      <w:tr w:rsidR="001B30CB" w:rsidRPr="00B23671" w14:paraId="34B2B118" w14:textId="77777777" w:rsidTr="008266B8">
        <w:tc>
          <w:tcPr>
            <w:tcW w:w="9350" w:type="dxa"/>
            <w:gridSpan w:val="4"/>
            <w:shd w:val="clear" w:color="auto" w:fill="70AD47" w:themeFill="accent6"/>
          </w:tcPr>
          <w:p w14:paraId="23F97964" w14:textId="77777777" w:rsidR="001B30CB" w:rsidRPr="00B23671" w:rsidRDefault="001B30CB" w:rsidP="008266B8">
            <w:pPr>
              <w:jc w:val="center"/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B23671"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Performance Indicator </w:t>
            </w:r>
            <w:r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  <w:t>2.1</w:t>
            </w:r>
            <w:r w:rsidRPr="00B23671"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  <w:t>Joint Programs</w:t>
            </w:r>
          </w:p>
        </w:tc>
      </w:tr>
      <w:tr w:rsidR="001B30CB" w:rsidRPr="00B23671" w14:paraId="0B4CAC60" w14:textId="77777777" w:rsidTr="008266B8">
        <w:tc>
          <w:tcPr>
            <w:tcW w:w="3116" w:type="dxa"/>
            <w:shd w:val="clear" w:color="auto" w:fill="C5E0B3" w:themeFill="accent6" w:themeFillTint="66"/>
          </w:tcPr>
          <w:p w14:paraId="4640AF4C" w14:textId="77777777" w:rsidR="001B30CB" w:rsidRPr="001B30CB" w:rsidRDefault="001B30CB" w:rsidP="008266B8">
            <w:pPr>
              <w:jc w:val="center"/>
              <w:rPr>
                <w:rFonts w:asciiTheme="minorHAnsi" w:eastAsia="Brush Script MT" w:hAnsiTheme="minorHAnsi" w:cstheme="minorHAnsi"/>
                <w:b/>
                <w:bCs/>
                <w:sz w:val="28"/>
                <w:szCs w:val="28"/>
              </w:rPr>
            </w:pPr>
            <w:r w:rsidRPr="001B3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Approaches Minimum Requirements</w:t>
            </w:r>
          </w:p>
        </w:tc>
        <w:tc>
          <w:tcPr>
            <w:tcW w:w="3117" w:type="dxa"/>
            <w:gridSpan w:val="2"/>
            <w:shd w:val="clear" w:color="auto" w:fill="C5E0B3" w:themeFill="accent6" w:themeFillTint="66"/>
          </w:tcPr>
          <w:p w14:paraId="3A91DEAF" w14:textId="77777777" w:rsidR="001B30CB" w:rsidRPr="001B30CB" w:rsidRDefault="001B30CB" w:rsidP="008266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3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Meets Minimum</w:t>
            </w:r>
          </w:p>
          <w:p w14:paraId="0918C4E2" w14:textId="77777777" w:rsidR="001B30CB" w:rsidRPr="001B30CB" w:rsidRDefault="001B30CB" w:rsidP="008266B8">
            <w:pPr>
              <w:jc w:val="center"/>
              <w:rPr>
                <w:rFonts w:asciiTheme="minorHAnsi" w:eastAsia="Brush Script MT" w:hAnsiTheme="minorHAnsi" w:cstheme="minorHAnsi"/>
                <w:b/>
                <w:bCs/>
                <w:sz w:val="28"/>
                <w:szCs w:val="28"/>
              </w:rPr>
            </w:pPr>
            <w:r w:rsidRPr="001B3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1645B565" w14:textId="77777777" w:rsidR="001B30CB" w:rsidRPr="001B30CB" w:rsidRDefault="001B30CB" w:rsidP="008266B8">
            <w:pPr>
              <w:jc w:val="center"/>
              <w:rPr>
                <w:rFonts w:asciiTheme="minorHAnsi" w:eastAsia="Brush Script MT" w:hAnsiTheme="minorHAnsi" w:cstheme="minorHAnsi"/>
                <w:b/>
                <w:bCs/>
                <w:sz w:val="28"/>
                <w:szCs w:val="28"/>
              </w:rPr>
            </w:pPr>
            <w:r w:rsidRPr="001B3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Exceeds Minimum Requirements</w:t>
            </w:r>
          </w:p>
        </w:tc>
      </w:tr>
      <w:tr w:rsidR="001B30CB" w:rsidRPr="002167A6" w14:paraId="3F7FAF11" w14:textId="77777777" w:rsidTr="008266B8">
        <w:tc>
          <w:tcPr>
            <w:tcW w:w="3116" w:type="dxa"/>
            <w:shd w:val="clear" w:color="auto" w:fill="E2EFD9" w:themeFill="accent6" w:themeFillTint="33"/>
          </w:tcPr>
          <w:p w14:paraId="177D99B2" w14:textId="77777777" w:rsidR="001B30CB" w:rsidRPr="001B30CB" w:rsidRDefault="001B30CB" w:rsidP="008266B8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1B30C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a)</w:t>
            </w:r>
            <w:r w:rsidRPr="001B30CB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Gender equality is visibly mainstreamed into at least 50 percent of JPs operational at the time of assessment;</w:t>
            </w:r>
          </w:p>
          <w:p w14:paraId="487E0BB1" w14:textId="77777777" w:rsidR="001B30CB" w:rsidRPr="001B30CB" w:rsidRDefault="001B30CB" w:rsidP="008266B8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14:paraId="269370D3" w14:textId="77777777" w:rsidR="001B30CB" w:rsidRPr="001B30CB" w:rsidRDefault="001B30CB" w:rsidP="008266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1B30C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or </w:t>
            </w:r>
          </w:p>
          <w:p w14:paraId="015C1B3C" w14:textId="77777777" w:rsidR="001B30CB" w:rsidRPr="001B30CB" w:rsidRDefault="001B30CB" w:rsidP="008266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</w:p>
          <w:p w14:paraId="458D7256" w14:textId="77777777" w:rsidR="001B30CB" w:rsidRPr="001B30CB" w:rsidRDefault="001B30CB" w:rsidP="008266B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30C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b) </w:t>
            </w:r>
            <w:r w:rsidRPr="001B30CB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 Joint Program on promoting gender equality and empowerment of women is operational over current Cooperation Framework period in line with SDG priorities, including SDG 5.</w:t>
            </w:r>
          </w:p>
        </w:tc>
        <w:tc>
          <w:tcPr>
            <w:tcW w:w="3117" w:type="dxa"/>
            <w:gridSpan w:val="2"/>
            <w:shd w:val="clear" w:color="auto" w:fill="E2EFD9" w:themeFill="accent6" w:themeFillTint="33"/>
          </w:tcPr>
          <w:p w14:paraId="5E682728" w14:textId="77777777" w:rsidR="001B30CB" w:rsidRPr="001B30CB" w:rsidRDefault="001B30CB" w:rsidP="008266B8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1B30C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a)</w:t>
            </w:r>
            <w:r w:rsidRPr="001B30CB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Gender equality is visibly mainstreamed into all JPs operational at the time of assessment;</w:t>
            </w:r>
          </w:p>
          <w:p w14:paraId="5CB30DA2" w14:textId="77777777" w:rsidR="001B30CB" w:rsidRPr="001B30CB" w:rsidRDefault="001B30CB" w:rsidP="008266B8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14:paraId="5C1EF377" w14:textId="77777777" w:rsidR="001B30CB" w:rsidRPr="001B30CB" w:rsidRDefault="001B30CB" w:rsidP="008266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1B30C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and</w:t>
            </w:r>
          </w:p>
          <w:p w14:paraId="2A6F007C" w14:textId="77777777" w:rsidR="001B30CB" w:rsidRPr="001B30CB" w:rsidRDefault="001B30CB" w:rsidP="008266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</w:p>
          <w:p w14:paraId="7F72703B" w14:textId="77777777" w:rsidR="001B30CB" w:rsidRPr="001B30CB" w:rsidRDefault="001B30CB" w:rsidP="008266B8">
            <w:pPr>
              <w:rPr>
                <w:rFonts w:asciiTheme="minorHAnsi" w:eastAsia="Brush Script MT" w:hAnsiTheme="minorHAnsi" w:cstheme="minorHAnsi"/>
                <w:color w:val="000000" w:themeColor="text1"/>
                <w:sz w:val="22"/>
                <w:szCs w:val="22"/>
              </w:rPr>
            </w:pPr>
            <w:r w:rsidRPr="001B30C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b) </w:t>
            </w:r>
            <w:r w:rsidRPr="001B30CB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 Joint Program on promoting gender equality and empowerment of women and girls is operational over current Cooperation Framework period in line with SDG priorities, including SDG 5.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14:paraId="644889CF" w14:textId="77777777" w:rsidR="001B30CB" w:rsidRPr="001B30CB" w:rsidRDefault="001B30CB" w:rsidP="008266B8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1B30CB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Meets minimum requirements</w:t>
            </w:r>
          </w:p>
          <w:p w14:paraId="4DDBA623" w14:textId="77777777" w:rsidR="001B30CB" w:rsidRPr="001B30CB" w:rsidRDefault="001B30CB" w:rsidP="008266B8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14:paraId="7E8161AE" w14:textId="77777777" w:rsidR="001B30CB" w:rsidRPr="001B30CB" w:rsidRDefault="001B30CB" w:rsidP="008266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1B30C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and</w:t>
            </w:r>
          </w:p>
          <w:p w14:paraId="448D4FAA" w14:textId="77777777" w:rsidR="001B30CB" w:rsidRPr="001B30CB" w:rsidRDefault="001B30CB" w:rsidP="008266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</w:p>
          <w:p w14:paraId="7C36058B" w14:textId="77777777" w:rsidR="001B30CB" w:rsidRPr="001B30CB" w:rsidRDefault="001B30CB" w:rsidP="008266B8">
            <w:pPr>
              <w:rPr>
                <w:rFonts w:asciiTheme="minorHAnsi" w:eastAsia="Brush Script MT" w:hAnsiTheme="minorHAnsi" w:cstheme="minorHAnsi"/>
                <w:color w:val="000000" w:themeColor="text1"/>
                <w:sz w:val="22"/>
                <w:szCs w:val="22"/>
              </w:rPr>
            </w:pPr>
            <w:r w:rsidRPr="001B30C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c)</w:t>
            </w:r>
            <w:r w:rsidRPr="001B30CB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A system is in place to ensure gender mainstreaming in Joint Programs.</w:t>
            </w:r>
          </w:p>
        </w:tc>
      </w:tr>
    </w:tbl>
    <w:p w14:paraId="01FFEE7A" w14:textId="58546BC4" w:rsidR="00536559" w:rsidRDefault="00536559"/>
    <w:p w14:paraId="39B72CA6" w14:textId="4338AC1A" w:rsidR="004945AE" w:rsidRDefault="004945AE"/>
    <w:p w14:paraId="702F4C71" w14:textId="61947393" w:rsidR="004945AE" w:rsidRDefault="004945AE"/>
    <w:p w14:paraId="1722B73B" w14:textId="29DC0A55" w:rsidR="004945AE" w:rsidRDefault="004945AE"/>
    <w:p w14:paraId="13F13055" w14:textId="77777777" w:rsidR="00536559" w:rsidRDefault="00536559"/>
    <w:p w14:paraId="7ABA12D5" w14:textId="77777777" w:rsidR="00536559" w:rsidRDefault="00536559" w:rsidP="00722E9C">
      <w:pPr>
        <w:jc w:val="center"/>
        <w:rPr>
          <w:u w:val="single"/>
        </w:rPr>
      </w:pPr>
    </w:p>
    <w:p w14:paraId="56ED514A" w14:textId="5B57EE6A" w:rsidR="3798641A" w:rsidRDefault="3798641A" w:rsidP="3798641A">
      <w:pPr>
        <w:jc w:val="center"/>
        <w:rPr>
          <w:u w:val="single"/>
        </w:rPr>
      </w:pPr>
    </w:p>
    <w:p w14:paraId="491340D9" w14:textId="55F057A4" w:rsidR="3798641A" w:rsidRDefault="3798641A" w:rsidP="3798641A">
      <w:pPr>
        <w:jc w:val="center"/>
        <w:rPr>
          <w:u w:val="single"/>
        </w:rPr>
      </w:pPr>
    </w:p>
    <w:p w14:paraId="325B48A7" w14:textId="36158A0D" w:rsidR="00F96EFD" w:rsidRPr="00722E9C" w:rsidRDefault="00FF2449" w:rsidP="3798641A">
      <w:pPr>
        <w:jc w:val="center"/>
        <w:rPr>
          <w:rFonts w:asciiTheme="minorHAnsi" w:eastAsiaTheme="minorEastAsia" w:hAnsiTheme="minorHAnsi" w:cstheme="minorBidi"/>
          <w:b/>
          <w:bCs/>
          <w:u w:val="single"/>
        </w:rPr>
      </w:pPr>
      <w:r w:rsidRPr="3798641A">
        <w:rPr>
          <w:rFonts w:asciiTheme="minorHAnsi" w:eastAsiaTheme="minorEastAsia" w:hAnsiTheme="minorHAnsi" w:cstheme="minorBidi"/>
          <w:b/>
          <w:bCs/>
          <w:u w:val="single"/>
        </w:rPr>
        <w:lastRenderedPageBreak/>
        <w:t>Princip</w:t>
      </w:r>
      <w:r w:rsidR="00EB01A5">
        <w:rPr>
          <w:rFonts w:asciiTheme="minorHAnsi" w:eastAsiaTheme="minorEastAsia" w:hAnsiTheme="minorHAnsi" w:cstheme="minorBidi"/>
          <w:b/>
          <w:bCs/>
          <w:u w:val="single"/>
        </w:rPr>
        <w:t>al</w:t>
      </w:r>
      <w:r w:rsidRPr="3798641A">
        <w:rPr>
          <w:rFonts w:asciiTheme="minorHAnsi" w:eastAsiaTheme="minorEastAsia" w:hAnsiTheme="minorHAnsi" w:cstheme="minorBidi"/>
          <w:b/>
          <w:bCs/>
          <w:u w:val="single"/>
        </w:rPr>
        <w:t xml:space="preserve"> Steps and Success Factors in Joint Gender Programmes</w:t>
      </w:r>
      <w:r w:rsidR="00557BCE">
        <w:rPr>
          <w:rFonts w:asciiTheme="minorHAnsi" w:eastAsiaTheme="minorEastAsia" w:hAnsiTheme="minorHAnsi" w:cstheme="minorBidi"/>
          <w:b/>
          <w:bCs/>
          <w:u w:val="single"/>
        </w:rPr>
        <w:t xml:space="preserve"> (JGP)</w:t>
      </w:r>
      <w:r w:rsidR="00722E9C" w:rsidRPr="3798641A">
        <w:rPr>
          <w:rStyle w:val="FootnoteReference"/>
          <w:rFonts w:asciiTheme="minorHAnsi" w:eastAsiaTheme="minorEastAsia" w:hAnsiTheme="minorHAnsi" w:cstheme="minorBidi"/>
          <w:b/>
          <w:bCs/>
          <w:u w:val="single"/>
        </w:rPr>
        <w:footnoteReference w:id="1"/>
      </w:r>
    </w:p>
    <w:p w14:paraId="6B49C167" w14:textId="078D6AD5" w:rsidR="00FF2449" w:rsidRDefault="00FF2449"/>
    <w:tbl>
      <w:tblPr>
        <w:tblStyle w:val="TableGrid"/>
        <w:tblW w:w="8280" w:type="dxa"/>
        <w:tblInd w:w="46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83"/>
        <w:gridCol w:w="6797"/>
      </w:tblGrid>
      <w:tr w:rsidR="00FF2449" w:rsidRPr="0050153E" w14:paraId="55548599" w14:textId="77777777" w:rsidTr="306635B9">
        <w:trPr>
          <w:trHeight w:val="1197"/>
        </w:trPr>
        <w:tc>
          <w:tcPr>
            <w:tcW w:w="1483" w:type="dxa"/>
            <w:tcBorders>
              <w:right w:val="single" w:sz="18" w:space="0" w:color="FFFFFF" w:themeColor="background1"/>
            </w:tcBorders>
            <w:shd w:val="clear" w:color="auto" w:fill="B2CFED"/>
          </w:tcPr>
          <w:p w14:paraId="5C7CAA17" w14:textId="77777777" w:rsidR="00FF2449" w:rsidRPr="00174A07" w:rsidRDefault="00FF2449" w:rsidP="00F17727">
            <w:pPr>
              <w:rPr>
                <w:rFonts w:asciiTheme="majorHAnsi" w:hAnsiTheme="majorHAnsi"/>
                <w:sz w:val="18"/>
                <w:szCs w:val="18"/>
              </w:rPr>
            </w:pPr>
            <w:r w:rsidRPr="00174A07">
              <w:rPr>
                <w:rFonts w:asciiTheme="majorHAnsi" w:hAnsiTheme="majorHAnsi" w:cs="Arial"/>
                <w:iCs/>
                <w:sz w:val="18"/>
                <w:szCs w:val="18"/>
              </w:rPr>
              <w:t>1.  Develop a comprehensive situation analysis</w:t>
            </w:r>
          </w:p>
        </w:tc>
        <w:tc>
          <w:tcPr>
            <w:tcW w:w="6797" w:type="dxa"/>
            <w:tcBorders>
              <w:left w:val="single" w:sz="18" w:space="0" w:color="FFFFFF" w:themeColor="background1"/>
            </w:tcBorders>
            <w:shd w:val="clear" w:color="auto" w:fill="DEE6F7"/>
          </w:tcPr>
          <w:p w14:paraId="7753C83E" w14:textId="5C2B55B1" w:rsidR="00F60DEA" w:rsidRDefault="00F60DEA" w:rsidP="306635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Develop a Terms of Reference </w:t>
            </w:r>
            <w:r w:rsidR="0035099E">
              <w:rPr>
                <w:rFonts w:asciiTheme="majorHAnsi" w:hAnsiTheme="majorHAnsi"/>
                <w:sz w:val="18"/>
                <w:szCs w:val="18"/>
              </w:rPr>
              <w:t xml:space="preserve">(TOR) </w:t>
            </w:r>
            <w:r w:rsidR="00155F7F">
              <w:rPr>
                <w:rFonts w:asciiTheme="majorHAnsi" w:hAnsiTheme="majorHAnsi"/>
                <w:sz w:val="18"/>
                <w:szCs w:val="18"/>
              </w:rPr>
              <w:t>reflecting relevant competencies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57BCE">
              <w:rPr>
                <w:rFonts w:asciiTheme="majorHAnsi" w:hAnsiTheme="majorHAnsi"/>
                <w:sz w:val="18"/>
                <w:szCs w:val="18"/>
              </w:rPr>
              <w:t xml:space="preserve">and </w:t>
            </w:r>
            <w:r w:rsidR="00155F7F">
              <w:rPr>
                <w:rFonts w:asciiTheme="majorHAnsi" w:hAnsiTheme="majorHAnsi"/>
                <w:sz w:val="18"/>
                <w:szCs w:val="18"/>
              </w:rPr>
              <w:t>includ</w:t>
            </w:r>
            <w:r w:rsidR="00557BCE">
              <w:rPr>
                <w:rFonts w:asciiTheme="majorHAnsi" w:hAnsiTheme="majorHAnsi"/>
                <w:sz w:val="18"/>
                <w:szCs w:val="18"/>
              </w:rPr>
              <w:t xml:space="preserve">e expertise </w:t>
            </w:r>
            <w:r w:rsidR="00155F7F">
              <w:rPr>
                <w:rFonts w:asciiTheme="majorHAnsi" w:hAnsiTheme="majorHAnsi"/>
                <w:sz w:val="18"/>
                <w:szCs w:val="18"/>
              </w:rPr>
              <w:t xml:space="preserve">in </w:t>
            </w:r>
            <w:r w:rsidR="00557BCE">
              <w:rPr>
                <w:rFonts w:asciiTheme="majorHAnsi" w:hAnsiTheme="majorHAnsi"/>
                <w:sz w:val="18"/>
                <w:szCs w:val="18"/>
              </w:rPr>
              <w:t>gender equality and women’s empowerment (</w:t>
            </w:r>
            <w:r w:rsidR="00155F7F">
              <w:rPr>
                <w:rFonts w:asciiTheme="majorHAnsi" w:hAnsiTheme="majorHAnsi"/>
                <w:sz w:val="18"/>
                <w:szCs w:val="18"/>
              </w:rPr>
              <w:t>GEWE</w:t>
            </w:r>
            <w:r w:rsidR="00557BCE">
              <w:rPr>
                <w:rFonts w:asciiTheme="majorHAnsi" w:hAnsiTheme="majorHAnsi"/>
                <w:sz w:val="18"/>
                <w:szCs w:val="18"/>
              </w:rPr>
              <w:t>)</w:t>
            </w:r>
            <w:r w:rsidR="006525F3">
              <w:rPr>
                <w:rFonts w:asciiTheme="majorHAnsi" w:hAnsiTheme="majorHAnsi"/>
                <w:sz w:val="18"/>
                <w:szCs w:val="18"/>
              </w:rPr>
              <w:t>,</w:t>
            </w:r>
            <w:r w:rsidR="00155F7F">
              <w:rPr>
                <w:rFonts w:asciiTheme="majorHAnsi" w:hAnsiTheme="majorHAnsi"/>
                <w:sz w:val="18"/>
                <w:szCs w:val="18"/>
              </w:rPr>
              <w:t xml:space="preserve"> and capacit</w:t>
            </w:r>
            <w:r w:rsidR="006525F3">
              <w:rPr>
                <w:rFonts w:asciiTheme="majorHAnsi" w:hAnsiTheme="majorHAnsi"/>
                <w:sz w:val="18"/>
                <w:szCs w:val="18"/>
              </w:rPr>
              <w:t>y</w:t>
            </w:r>
            <w:r w:rsidR="00155F7F">
              <w:rPr>
                <w:rFonts w:asciiTheme="majorHAnsi" w:hAnsiTheme="majorHAnsi"/>
                <w:sz w:val="18"/>
                <w:szCs w:val="18"/>
              </w:rPr>
              <w:t xml:space="preserve"> to undertake complex analysis  </w:t>
            </w:r>
          </w:p>
          <w:p w14:paraId="3EB2D488" w14:textId="415FA8F9" w:rsidR="00155F7F" w:rsidRDefault="42C079A1" w:rsidP="306635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 w:rsidRPr="306635B9">
              <w:rPr>
                <w:rFonts w:asciiTheme="majorHAnsi" w:hAnsiTheme="majorHAnsi"/>
                <w:sz w:val="18"/>
                <w:szCs w:val="18"/>
              </w:rPr>
              <w:t xml:space="preserve">Identify </w:t>
            </w:r>
            <w:r w:rsidR="00155F7F">
              <w:rPr>
                <w:rFonts w:asciiTheme="majorHAnsi" w:hAnsiTheme="majorHAnsi"/>
                <w:sz w:val="18"/>
                <w:szCs w:val="18"/>
              </w:rPr>
              <w:t xml:space="preserve">past and </w:t>
            </w:r>
            <w:r w:rsidRPr="306635B9">
              <w:rPr>
                <w:rFonts w:asciiTheme="majorHAnsi" w:hAnsiTheme="majorHAnsi"/>
                <w:sz w:val="18"/>
                <w:szCs w:val="18"/>
              </w:rPr>
              <w:t>existing initiatives addressing GEW</w:t>
            </w:r>
            <w:r w:rsidR="4D6CD4A3" w:rsidRPr="306635B9">
              <w:rPr>
                <w:rFonts w:asciiTheme="majorHAnsi" w:hAnsiTheme="majorHAnsi"/>
                <w:sz w:val="18"/>
                <w:szCs w:val="18"/>
              </w:rPr>
              <w:t>E</w:t>
            </w:r>
            <w:r w:rsidR="00155F7F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D103FE">
              <w:rPr>
                <w:rFonts w:asciiTheme="majorHAnsi" w:hAnsiTheme="majorHAnsi"/>
                <w:sz w:val="18"/>
                <w:szCs w:val="18"/>
              </w:rPr>
              <w:t>relevant to the JGP focus</w:t>
            </w:r>
            <w:r w:rsidR="00155F7F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4E52DE03" w14:textId="69F1DD1C" w:rsidR="0035099E" w:rsidRDefault="0035099E" w:rsidP="306635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Assess capacities and strengths of </w:t>
            </w:r>
            <w:r w:rsidR="00B058A1">
              <w:rPr>
                <w:rFonts w:asciiTheme="majorHAnsi" w:hAnsiTheme="majorHAnsi"/>
                <w:sz w:val="18"/>
                <w:szCs w:val="18"/>
              </w:rPr>
              <w:t xml:space="preserve">partners and </w:t>
            </w:r>
            <w:r>
              <w:rPr>
                <w:rFonts w:asciiTheme="majorHAnsi" w:hAnsiTheme="majorHAnsi"/>
                <w:sz w:val="18"/>
                <w:szCs w:val="18"/>
              </w:rPr>
              <w:t>stakeholders (rights holders and duty bearers)</w:t>
            </w:r>
            <w:r w:rsidR="006525F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103FE">
              <w:rPr>
                <w:rFonts w:asciiTheme="majorHAnsi" w:hAnsiTheme="majorHAnsi"/>
                <w:sz w:val="18"/>
                <w:szCs w:val="18"/>
              </w:rPr>
              <w:t xml:space="preserve">transparently </w:t>
            </w:r>
            <w:r w:rsidR="00B058A1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3B21A0E8" w14:textId="74C63FED" w:rsidR="00155F7F" w:rsidRPr="00174A07" w:rsidRDefault="00155F7F" w:rsidP="00155F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Review gender-related lessons learnt (evaluations, research) - including previous areas of collaboration, to identify opportunities and/or challenges </w:t>
            </w:r>
          </w:p>
          <w:p w14:paraId="7D7C2FA3" w14:textId="06DD6834" w:rsidR="005D02EC" w:rsidRDefault="42C079A1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 w:rsidRPr="306635B9">
              <w:rPr>
                <w:rFonts w:asciiTheme="majorHAnsi" w:hAnsiTheme="majorHAnsi"/>
                <w:sz w:val="18"/>
                <w:szCs w:val="18"/>
              </w:rPr>
              <w:t>Map available research and data</w:t>
            </w:r>
            <w:r w:rsidR="005D02EC">
              <w:rPr>
                <w:rFonts w:asciiTheme="majorHAnsi" w:hAnsiTheme="majorHAnsi"/>
                <w:sz w:val="18"/>
                <w:szCs w:val="18"/>
              </w:rPr>
              <w:t>,</w:t>
            </w:r>
            <w:r w:rsidRPr="306635B9">
              <w:rPr>
                <w:rFonts w:asciiTheme="majorHAnsi" w:hAnsiTheme="majorHAnsi"/>
                <w:sz w:val="18"/>
                <w:szCs w:val="18"/>
              </w:rPr>
              <w:t xml:space="preserve"> relevant to the </w:t>
            </w:r>
            <w:r w:rsidR="00155F7F">
              <w:rPr>
                <w:rFonts w:asciiTheme="majorHAnsi" w:hAnsiTheme="majorHAnsi"/>
                <w:sz w:val="18"/>
                <w:szCs w:val="18"/>
              </w:rPr>
              <w:t>area of programming and the gaps</w:t>
            </w:r>
            <w:r w:rsidRPr="306635B9">
              <w:rPr>
                <w:rFonts w:asciiTheme="majorHAnsi" w:hAnsiTheme="majorHAnsi"/>
                <w:sz w:val="18"/>
                <w:szCs w:val="18"/>
              </w:rPr>
              <w:t xml:space="preserve">, and </w:t>
            </w:r>
            <w:r w:rsidR="00155F7F">
              <w:rPr>
                <w:rFonts w:asciiTheme="majorHAnsi" w:hAnsiTheme="majorHAnsi"/>
                <w:sz w:val="18"/>
                <w:szCs w:val="18"/>
              </w:rPr>
              <w:t>ways of plugging gaps</w:t>
            </w:r>
          </w:p>
          <w:p w14:paraId="38F555CB" w14:textId="76F34012" w:rsidR="00FF2449" w:rsidRDefault="005D02EC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</w:t>
            </w:r>
            <w:r w:rsidR="42C079A1" w:rsidRPr="306635B9">
              <w:rPr>
                <w:rFonts w:asciiTheme="majorHAnsi" w:hAnsiTheme="majorHAnsi"/>
                <w:sz w:val="18"/>
                <w:szCs w:val="18"/>
              </w:rPr>
              <w:t>evelop an analysis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="42C079A1" w:rsidRPr="306635B9">
              <w:rPr>
                <w:rFonts w:asciiTheme="majorHAnsi" w:hAnsiTheme="majorHAnsi"/>
                <w:sz w:val="18"/>
                <w:szCs w:val="18"/>
              </w:rPr>
              <w:t xml:space="preserve"> building 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the available </w:t>
            </w:r>
            <w:r w:rsidR="42C079A1" w:rsidRPr="306635B9">
              <w:rPr>
                <w:rFonts w:asciiTheme="majorHAnsi" w:hAnsiTheme="majorHAnsi"/>
                <w:sz w:val="18"/>
                <w:szCs w:val="18"/>
              </w:rPr>
              <w:t>sex</w:t>
            </w:r>
            <w:r w:rsidR="49BB1850" w:rsidRPr="306635B9">
              <w:rPr>
                <w:rFonts w:asciiTheme="majorHAnsi" w:hAnsiTheme="majorHAnsi"/>
                <w:sz w:val="18"/>
                <w:szCs w:val="18"/>
              </w:rPr>
              <w:t>-</w:t>
            </w:r>
            <w:r w:rsidR="42C079A1" w:rsidRPr="306635B9">
              <w:rPr>
                <w:rFonts w:asciiTheme="majorHAnsi" w:hAnsiTheme="majorHAnsi"/>
                <w:sz w:val="18"/>
                <w:szCs w:val="18"/>
              </w:rPr>
              <w:t>disaggregated and gender</w:t>
            </w:r>
            <w:r w:rsidR="4E497E87" w:rsidRPr="306635B9">
              <w:rPr>
                <w:rFonts w:asciiTheme="majorHAnsi" w:hAnsiTheme="majorHAnsi"/>
                <w:sz w:val="18"/>
                <w:szCs w:val="18"/>
              </w:rPr>
              <w:t>-</w:t>
            </w:r>
            <w:r w:rsidR="42C079A1" w:rsidRPr="306635B9">
              <w:rPr>
                <w:rFonts w:asciiTheme="majorHAnsi" w:hAnsiTheme="majorHAnsi"/>
                <w:sz w:val="18"/>
                <w:szCs w:val="18"/>
              </w:rPr>
              <w:t xml:space="preserve">sensitive data </w:t>
            </w:r>
          </w:p>
          <w:p w14:paraId="380F960A" w14:textId="77777777" w:rsidR="0035099E" w:rsidRPr="00DD2042" w:rsidRDefault="003E15B4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>To ensure ownership of results of the analysis,</w:t>
            </w: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>i</w:t>
            </w:r>
            <w:r w:rsidR="0035099E" w:rsidRPr="00174A07">
              <w:rPr>
                <w:rFonts w:asciiTheme="majorHAnsi" w:hAnsiTheme="majorHAnsi"/>
                <w:iCs/>
                <w:sz w:val="18"/>
                <w:szCs w:val="18"/>
              </w:rPr>
              <w:t>dentify national &amp; sub-national organizations representing rights holders e.g., women’s rights organizations, women with disabilities &amp; indigenous peoples</w:t>
            </w:r>
            <w:r w:rsidR="0035099E">
              <w:rPr>
                <w:rFonts w:asciiTheme="majorHAnsi" w:hAnsiTheme="majorHAnsi"/>
                <w:iCs/>
                <w:sz w:val="18"/>
                <w:szCs w:val="18"/>
              </w:rPr>
              <w:t>, and facilitate their engagement at key stages of this process i.e., from development of TOR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>.</w:t>
            </w:r>
            <w:r w:rsidR="0035099E">
              <w:rPr>
                <w:rFonts w:asciiTheme="majorHAnsi" w:hAnsiTheme="majorHAnsi"/>
                <w:iCs/>
                <w:sz w:val="18"/>
                <w:szCs w:val="18"/>
              </w:rPr>
              <w:t xml:space="preserve"> </w:t>
            </w:r>
          </w:p>
          <w:p w14:paraId="30D42321" w14:textId="06B3BABD" w:rsidR="00DD2042" w:rsidRPr="00174A07" w:rsidRDefault="00DD2042" w:rsidP="00DD2042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left="299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099E" w:rsidRPr="0050153E" w14:paraId="56161322" w14:textId="77777777" w:rsidTr="306635B9">
        <w:tc>
          <w:tcPr>
            <w:tcW w:w="1483" w:type="dxa"/>
            <w:tcBorders>
              <w:right w:val="single" w:sz="18" w:space="0" w:color="FFFFFF" w:themeColor="background1"/>
            </w:tcBorders>
            <w:shd w:val="clear" w:color="auto" w:fill="B2CFED"/>
          </w:tcPr>
          <w:p w14:paraId="2AC5CDFC" w14:textId="39124665" w:rsidR="0035099E" w:rsidRPr="00174A07" w:rsidRDefault="0035099E" w:rsidP="003509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</w:t>
            </w:r>
            <w:r w:rsidRPr="027BF381">
              <w:rPr>
                <w:rFonts w:asciiTheme="majorHAnsi" w:hAnsiTheme="majorHAnsi" w:cs="Arial"/>
                <w:sz w:val="18"/>
                <w:szCs w:val="18"/>
              </w:rPr>
              <w:t>. Develop a</w:t>
            </w:r>
            <w:r w:rsidR="00F36313">
              <w:rPr>
                <w:rFonts w:asciiTheme="majorHAnsi" w:hAnsiTheme="majorHAnsi" w:cs="Arial"/>
                <w:sz w:val="18"/>
                <w:szCs w:val="18"/>
              </w:rPr>
              <w:t>nd</w:t>
            </w:r>
            <w:r w:rsidRPr="027BF381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articulate a </w:t>
            </w:r>
            <w:r w:rsidRPr="027BF381">
              <w:rPr>
                <w:rFonts w:asciiTheme="majorHAnsi" w:hAnsiTheme="majorHAnsi" w:cs="Arial"/>
                <w:sz w:val="18"/>
                <w:szCs w:val="18"/>
              </w:rPr>
              <w:t xml:space="preserve">shared vision and </w:t>
            </w:r>
            <w:r>
              <w:rPr>
                <w:rFonts w:asciiTheme="majorHAnsi" w:hAnsiTheme="majorHAnsi" w:cs="Arial"/>
                <w:sz w:val="18"/>
                <w:szCs w:val="18"/>
              </w:rPr>
              <w:t>i</w:t>
            </w:r>
            <w:r w:rsidRPr="027BF381">
              <w:rPr>
                <w:rFonts w:asciiTheme="majorHAnsi" w:hAnsiTheme="majorHAnsi" w:cs="Arial"/>
                <w:sz w:val="18"/>
                <w:szCs w:val="18"/>
              </w:rPr>
              <w:t>nvolve key stakeholders throughout all steps</w:t>
            </w:r>
          </w:p>
          <w:p w14:paraId="4345A0C4" w14:textId="77777777" w:rsidR="0035099E" w:rsidRPr="027BF381" w:rsidRDefault="0035099E" w:rsidP="003509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797" w:type="dxa"/>
            <w:tcBorders>
              <w:left w:val="single" w:sz="18" w:space="0" w:color="FFFFFF" w:themeColor="background1"/>
            </w:tcBorders>
            <w:shd w:val="clear" w:color="auto" w:fill="DEE6F7"/>
          </w:tcPr>
          <w:p w14:paraId="38E35E52" w14:textId="3EA76688" w:rsidR="004F0FAA" w:rsidRPr="00DD2042" w:rsidRDefault="0035099E" w:rsidP="004F0FA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4F0FAA">
              <w:rPr>
                <w:rFonts w:asciiTheme="majorHAnsi" w:hAnsiTheme="majorHAnsi"/>
                <w:sz w:val="18"/>
                <w:szCs w:val="18"/>
              </w:rPr>
              <w:t>Develop a realistic timeline for a consultative process, to support</w:t>
            </w:r>
            <w:r w:rsidRPr="00B058A1">
              <w:rPr>
                <w:rFonts w:asciiTheme="majorHAnsi" w:hAnsiTheme="majorHAnsi"/>
                <w:sz w:val="18"/>
                <w:szCs w:val="18"/>
              </w:rPr>
              <w:t xml:space="preserve"> consensus</w:t>
            </w:r>
            <w:r w:rsidRPr="0079043C">
              <w:rPr>
                <w:rFonts w:asciiTheme="majorHAnsi" w:hAnsiTheme="majorHAnsi"/>
                <w:sz w:val="18"/>
                <w:szCs w:val="18"/>
              </w:rPr>
              <w:t>-building</w:t>
            </w:r>
            <w:r w:rsidRPr="00BD7C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525F3">
              <w:rPr>
                <w:rFonts w:asciiTheme="majorHAnsi" w:hAnsiTheme="majorHAnsi"/>
                <w:sz w:val="18"/>
                <w:szCs w:val="18"/>
              </w:rPr>
              <w:t xml:space="preserve">around a shared vision that highlights gender inequalities and possibilities for increasing </w:t>
            </w:r>
            <w:r w:rsidR="006525F3">
              <w:rPr>
                <w:rFonts w:asciiTheme="majorHAnsi" w:hAnsiTheme="majorHAnsi"/>
                <w:sz w:val="18"/>
                <w:szCs w:val="18"/>
              </w:rPr>
              <w:t>GEWE</w:t>
            </w:r>
          </w:p>
          <w:p w14:paraId="11ADC85C" w14:textId="705EA08F" w:rsidR="004F0FAA" w:rsidRPr="00942385" w:rsidRDefault="004F0FAA" w:rsidP="004F0FA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DD2042">
              <w:rPr>
                <w:rFonts w:asciiTheme="majorHAnsi" w:hAnsiTheme="majorHAnsi"/>
                <w:sz w:val="18"/>
                <w:szCs w:val="18"/>
              </w:rPr>
              <w:t xml:space="preserve">Clarify what the UNCT wishes to achieve </w:t>
            </w:r>
            <w:r w:rsidR="00942385">
              <w:rPr>
                <w:rFonts w:asciiTheme="majorHAnsi" w:hAnsiTheme="majorHAnsi"/>
                <w:sz w:val="18"/>
                <w:szCs w:val="18"/>
              </w:rPr>
              <w:t>-</w:t>
            </w:r>
            <w:r w:rsidRPr="00942385">
              <w:rPr>
                <w:rFonts w:asciiTheme="majorHAnsi" w:hAnsiTheme="majorHAnsi"/>
                <w:sz w:val="18"/>
                <w:szCs w:val="18"/>
              </w:rPr>
              <w:t xml:space="preserve"> and </w:t>
            </w:r>
            <w:r w:rsidR="00942385">
              <w:rPr>
                <w:rFonts w:asciiTheme="majorHAnsi" w:hAnsiTheme="majorHAnsi"/>
                <w:sz w:val="18"/>
                <w:szCs w:val="18"/>
              </w:rPr>
              <w:t xml:space="preserve">the </w:t>
            </w:r>
            <w:r w:rsidRPr="00942385">
              <w:rPr>
                <w:rFonts w:asciiTheme="majorHAnsi" w:hAnsiTheme="majorHAnsi"/>
                <w:sz w:val="18"/>
                <w:szCs w:val="18"/>
              </w:rPr>
              <w:t>long-term goals</w:t>
            </w:r>
            <w:r w:rsidR="00942385">
              <w:rPr>
                <w:rFonts w:asciiTheme="majorHAnsi" w:hAnsiTheme="majorHAnsi"/>
                <w:sz w:val="18"/>
                <w:szCs w:val="18"/>
              </w:rPr>
              <w:t>,</w:t>
            </w:r>
            <w:r w:rsidRPr="00942385">
              <w:rPr>
                <w:rFonts w:asciiTheme="majorHAnsi" w:hAnsiTheme="majorHAnsi"/>
                <w:sz w:val="18"/>
                <w:szCs w:val="18"/>
              </w:rPr>
              <w:t xml:space="preserve"> based on the analysis</w:t>
            </w:r>
          </w:p>
          <w:p w14:paraId="653472C8" w14:textId="0AB9163A" w:rsidR="004F0FAA" w:rsidRPr="00174A07" w:rsidRDefault="004F0FAA" w:rsidP="004F0FA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Involve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 xml:space="preserve">relevant UN </w:t>
            </w: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gender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 xml:space="preserve">advisors and/or </w:t>
            </w: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>focal points through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 xml:space="preserve"> the process</w:t>
            </w:r>
          </w:p>
          <w:p w14:paraId="3249FDC4" w14:textId="71513FBB" w:rsidR="004F0FAA" w:rsidRPr="00174A07" w:rsidRDefault="004F0FAA" w:rsidP="004F0FA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Involve relevant national partners and stakeholders </w:t>
            </w:r>
            <w:r w:rsidR="00B058A1" w:rsidRPr="306635B9">
              <w:rPr>
                <w:rFonts w:asciiTheme="majorHAnsi" w:hAnsiTheme="majorHAnsi"/>
                <w:sz w:val="18"/>
                <w:szCs w:val="18"/>
              </w:rPr>
              <w:t>throughout</w:t>
            </w:r>
            <w:r w:rsidR="00B058A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i.e., N</w:t>
            </w:r>
            <w:r w:rsidRPr="306635B9">
              <w:rPr>
                <w:rFonts w:asciiTheme="majorHAnsi" w:hAnsiTheme="majorHAnsi"/>
                <w:sz w:val="18"/>
                <w:szCs w:val="18"/>
              </w:rPr>
              <w:t>ational Women’s Machinery</w:t>
            </w:r>
            <w:r>
              <w:rPr>
                <w:rFonts w:asciiTheme="majorHAnsi" w:hAnsiTheme="majorHAnsi"/>
                <w:sz w:val="18"/>
                <w:szCs w:val="18"/>
              </w:rPr>
              <w:t>, other relevant government agencies, and representatives from civil society and academia</w:t>
            </w:r>
            <w:r w:rsidR="00B058A1">
              <w:rPr>
                <w:rFonts w:asciiTheme="majorHAnsi" w:hAnsiTheme="majorHAnsi"/>
                <w:sz w:val="18"/>
                <w:szCs w:val="18"/>
              </w:rPr>
              <w:t xml:space="preserve"> (in line with the situational analysis),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058A1">
              <w:rPr>
                <w:rFonts w:asciiTheme="majorHAnsi" w:hAnsiTheme="majorHAnsi"/>
                <w:sz w:val="18"/>
                <w:szCs w:val="18"/>
              </w:rPr>
              <w:t xml:space="preserve">and </w:t>
            </w:r>
            <w:r>
              <w:rPr>
                <w:rFonts w:asciiTheme="majorHAnsi" w:hAnsiTheme="majorHAnsi"/>
                <w:sz w:val="18"/>
                <w:szCs w:val="18"/>
              </w:rPr>
              <w:t>ensure that the</w:t>
            </w:r>
            <w:r w:rsidR="00B058A1">
              <w:rPr>
                <w:rFonts w:asciiTheme="majorHAnsi" w:hAnsiTheme="majorHAnsi"/>
                <w:sz w:val="18"/>
                <w:szCs w:val="18"/>
              </w:rPr>
              <w:t>ir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perspectives </w:t>
            </w:r>
            <w:r w:rsidR="00B058A1">
              <w:rPr>
                <w:rFonts w:asciiTheme="majorHAnsi" w:hAnsiTheme="majorHAnsi"/>
                <w:sz w:val="18"/>
                <w:szCs w:val="18"/>
              </w:rPr>
              <w:t xml:space="preserve">are integrated </w:t>
            </w:r>
          </w:p>
          <w:p w14:paraId="1F6527C7" w14:textId="77777777" w:rsidR="0035099E" w:rsidRDefault="00B058A1" w:rsidP="00B058A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Develop outcomes and outputs and indicators and identify risks and assumptions through this process </w:t>
            </w:r>
          </w:p>
          <w:p w14:paraId="6135554B" w14:textId="1D7EAAA4" w:rsidR="00DD2042" w:rsidRPr="00DD2042" w:rsidRDefault="00DD2042" w:rsidP="00DD2042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left="299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099E" w:rsidRPr="0050153E" w14:paraId="258252F4" w14:textId="77777777" w:rsidTr="306635B9">
        <w:tc>
          <w:tcPr>
            <w:tcW w:w="1483" w:type="dxa"/>
            <w:tcBorders>
              <w:right w:val="single" w:sz="18" w:space="0" w:color="FFFFFF" w:themeColor="background1"/>
            </w:tcBorders>
            <w:shd w:val="clear" w:color="auto" w:fill="B2CFED"/>
          </w:tcPr>
          <w:p w14:paraId="238C6ED0" w14:textId="6CEDE0AE" w:rsidR="0035099E" w:rsidRPr="00174A07" w:rsidRDefault="0079043C" w:rsidP="003509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</w:t>
            </w:r>
            <w:r w:rsidR="0035099E" w:rsidRPr="027BF381">
              <w:rPr>
                <w:rFonts w:asciiTheme="majorHAnsi" w:hAnsiTheme="majorHAnsi" w:cs="Arial"/>
                <w:sz w:val="18"/>
                <w:szCs w:val="18"/>
              </w:rPr>
              <w:t xml:space="preserve">. Determine capacities to implement </w:t>
            </w:r>
          </w:p>
        </w:tc>
        <w:tc>
          <w:tcPr>
            <w:tcW w:w="6797" w:type="dxa"/>
            <w:tcBorders>
              <w:left w:val="single" w:sz="18" w:space="0" w:color="FFFFFF" w:themeColor="background1"/>
            </w:tcBorders>
            <w:shd w:val="clear" w:color="auto" w:fill="DEE6F7"/>
          </w:tcPr>
          <w:p w14:paraId="21C7E8DD" w14:textId="7CD17402" w:rsidR="00B058A1" w:rsidRDefault="0035099E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 w:rsidRPr="306635B9">
              <w:rPr>
                <w:rFonts w:asciiTheme="majorHAnsi" w:hAnsiTheme="majorHAnsi"/>
                <w:sz w:val="18"/>
                <w:szCs w:val="18"/>
              </w:rPr>
              <w:t>Determine the gender-</w:t>
            </w:r>
            <w:r w:rsidR="00B058A1">
              <w:rPr>
                <w:rFonts w:asciiTheme="majorHAnsi" w:hAnsiTheme="majorHAnsi"/>
                <w:sz w:val="18"/>
                <w:szCs w:val="18"/>
              </w:rPr>
              <w:t xml:space="preserve">related and other </w:t>
            </w:r>
            <w:r w:rsidR="00B058A1" w:rsidRPr="306635B9">
              <w:rPr>
                <w:rFonts w:asciiTheme="majorHAnsi" w:hAnsiTheme="majorHAnsi"/>
                <w:sz w:val="18"/>
                <w:szCs w:val="18"/>
              </w:rPr>
              <w:t>capacit</w:t>
            </w:r>
            <w:r w:rsidR="00B058A1">
              <w:rPr>
                <w:rFonts w:asciiTheme="majorHAnsi" w:hAnsiTheme="majorHAnsi"/>
                <w:sz w:val="18"/>
                <w:szCs w:val="18"/>
              </w:rPr>
              <w:t>ies</w:t>
            </w:r>
            <w:r w:rsidR="00B058A1" w:rsidRPr="306635B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058A1">
              <w:rPr>
                <w:rFonts w:asciiTheme="majorHAnsi" w:hAnsiTheme="majorHAnsi"/>
                <w:sz w:val="18"/>
                <w:szCs w:val="18"/>
              </w:rPr>
              <w:t xml:space="preserve">needed to facilitate the operationalization of the </w:t>
            </w:r>
            <w:r w:rsidR="00381C41">
              <w:rPr>
                <w:rFonts w:asciiTheme="majorHAnsi" w:hAnsiTheme="majorHAnsi"/>
                <w:sz w:val="18"/>
                <w:szCs w:val="18"/>
              </w:rPr>
              <w:t>JGP</w:t>
            </w:r>
          </w:p>
          <w:p w14:paraId="098063BB" w14:textId="77777777" w:rsidR="0035099E" w:rsidRDefault="00B058A1" w:rsidP="007904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Based on the capacity assessment undertaken as part of the situational analysis, develop a capacity development plan </w:t>
            </w:r>
            <w:r w:rsidR="0079043C">
              <w:rPr>
                <w:rFonts w:asciiTheme="majorHAnsi" w:hAnsiTheme="majorHAnsi"/>
                <w:sz w:val="18"/>
                <w:szCs w:val="18"/>
              </w:rPr>
              <w:t xml:space="preserve">tailored to the needs of the </w:t>
            </w:r>
            <w:r w:rsidR="00381C41">
              <w:rPr>
                <w:rFonts w:asciiTheme="majorHAnsi" w:hAnsiTheme="majorHAnsi"/>
                <w:sz w:val="18"/>
                <w:szCs w:val="18"/>
              </w:rPr>
              <w:t>JGP</w:t>
            </w:r>
            <w:r w:rsidR="0079043C">
              <w:rPr>
                <w:rFonts w:asciiTheme="majorHAnsi" w:hAnsiTheme="majorHAnsi"/>
                <w:sz w:val="18"/>
                <w:szCs w:val="18"/>
              </w:rPr>
              <w:t xml:space="preserve"> and</w:t>
            </w:r>
            <w:r w:rsidR="0035099E" w:rsidRPr="306635B9">
              <w:rPr>
                <w:rFonts w:asciiTheme="majorHAnsi" w:hAnsiTheme="majorHAnsi"/>
                <w:sz w:val="18"/>
                <w:szCs w:val="18"/>
              </w:rPr>
              <w:t>, and identify technical, mentoring, coaching or on-the-job training needs</w:t>
            </w:r>
          </w:p>
          <w:p w14:paraId="5D83D4AA" w14:textId="215D0B1F" w:rsidR="00DD2042" w:rsidRPr="00174A07" w:rsidRDefault="00DD2042" w:rsidP="00DD2042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left="299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9043C" w:rsidRPr="0050153E" w14:paraId="643CBF06" w14:textId="77777777" w:rsidTr="00DD2042">
        <w:trPr>
          <w:trHeight w:hRule="exact" w:val="1935"/>
        </w:trPr>
        <w:tc>
          <w:tcPr>
            <w:tcW w:w="1483" w:type="dxa"/>
            <w:tcBorders>
              <w:right w:val="single" w:sz="18" w:space="0" w:color="FFFFFF" w:themeColor="background1"/>
            </w:tcBorders>
            <w:shd w:val="clear" w:color="auto" w:fill="B2CFED"/>
          </w:tcPr>
          <w:p w14:paraId="172601AA" w14:textId="090BA53E" w:rsidR="0079043C" w:rsidRPr="00174A07" w:rsidRDefault="006525F3" w:rsidP="0079043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4</w:t>
            </w:r>
            <w:r w:rsidR="0079043C" w:rsidRPr="027BF381"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  <w:r w:rsidR="0079043C">
              <w:rPr>
                <w:rFonts w:asciiTheme="majorHAnsi" w:hAnsiTheme="majorHAnsi" w:cs="Arial"/>
                <w:sz w:val="18"/>
                <w:szCs w:val="18"/>
              </w:rPr>
              <w:t>Engaging stakeholders</w:t>
            </w:r>
            <w:r w:rsidR="0079043C" w:rsidRPr="027BF381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6F00AB93" w14:textId="77777777" w:rsidR="0079043C" w:rsidRPr="027BF381" w:rsidRDefault="0079043C" w:rsidP="0079043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797" w:type="dxa"/>
            <w:tcBorders>
              <w:left w:val="single" w:sz="18" w:space="0" w:color="FFFFFF" w:themeColor="background1"/>
            </w:tcBorders>
            <w:shd w:val="clear" w:color="auto" w:fill="DEE6F7"/>
          </w:tcPr>
          <w:p w14:paraId="281A98FF" w14:textId="7620B28F" w:rsidR="0079043C" w:rsidRPr="00722E9C" w:rsidRDefault="0079043C" w:rsidP="007904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 xml:space="preserve">Define a clear plan of engaging with national partners from the start of the </w:t>
            </w:r>
            <w:r w:rsidR="00381C41">
              <w:rPr>
                <w:rFonts w:asciiTheme="majorHAnsi" w:hAnsiTheme="majorHAnsi"/>
                <w:iCs/>
                <w:sz w:val="18"/>
                <w:szCs w:val="18"/>
              </w:rPr>
              <w:t>JGP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>, to support results, greater national ownership and sustainability</w:t>
            </w:r>
          </w:p>
          <w:p w14:paraId="1F6C37FE" w14:textId="35A0205B" w:rsidR="0079043C" w:rsidRPr="00174A07" w:rsidRDefault="0079043C" w:rsidP="007904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 xml:space="preserve">Ensure engagement of senior managers in national partner agencies and the UN at key decision points  </w:t>
            </w:r>
          </w:p>
          <w:p w14:paraId="6DFD93A2" w14:textId="77777777" w:rsidR="0079043C" w:rsidRDefault="0079043C" w:rsidP="003624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>Ensure engagement of UNCT gender advisors and/or gender focal points</w:t>
            </w:r>
            <w:r w:rsidR="003624FF">
              <w:rPr>
                <w:rFonts w:asciiTheme="majorHAnsi" w:hAnsiTheme="majorHAnsi"/>
                <w:iCs/>
                <w:sz w:val="18"/>
                <w:szCs w:val="18"/>
              </w:rPr>
              <w:t xml:space="preserve"> and technical staff with expertise</w:t>
            </w:r>
          </w:p>
          <w:p w14:paraId="7ECE426A" w14:textId="49D6C69B" w:rsidR="003624FF" w:rsidRDefault="003624FF" w:rsidP="003624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 xml:space="preserve">Ensure that civil society representatives and community representatives (opinion leaders), are brought into consultations </w:t>
            </w:r>
          </w:p>
          <w:p w14:paraId="4F8E09F1" w14:textId="77777777" w:rsidR="00DD2042" w:rsidRDefault="00DD2042" w:rsidP="00DD2042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left="299"/>
              <w:rPr>
                <w:rFonts w:asciiTheme="majorHAnsi" w:hAnsiTheme="majorHAnsi"/>
                <w:iCs/>
                <w:sz w:val="18"/>
                <w:szCs w:val="18"/>
              </w:rPr>
            </w:pPr>
          </w:p>
          <w:p w14:paraId="07C323B0" w14:textId="48FBCC02" w:rsidR="00DD2042" w:rsidRPr="00174A07" w:rsidRDefault="00DD2042" w:rsidP="00DD2042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left="299"/>
              <w:rPr>
                <w:rFonts w:asciiTheme="majorHAnsi" w:hAnsiTheme="majorHAnsi"/>
                <w:iCs/>
                <w:sz w:val="18"/>
                <w:szCs w:val="18"/>
              </w:rPr>
            </w:pPr>
          </w:p>
        </w:tc>
      </w:tr>
      <w:tr w:rsidR="0035099E" w:rsidRPr="0050153E" w14:paraId="59F05066" w14:textId="77777777" w:rsidTr="00DD2042">
        <w:trPr>
          <w:trHeight w:hRule="exact" w:val="2925"/>
        </w:trPr>
        <w:tc>
          <w:tcPr>
            <w:tcW w:w="1483" w:type="dxa"/>
            <w:tcBorders>
              <w:right w:val="single" w:sz="18" w:space="0" w:color="FFFFFF" w:themeColor="background1"/>
            </w:tcBorders>
            <w:shd w:val="clear" w:color="auto" w:fill="B2CFED"/>
          </w:tcPr>
          <w:p w14:paraId="16EA9C63" w14:textId="57E59C2A" w:rsidR="0035099E" w:rsidRPr="00174A07" w:rsidRDefault="0079043C" w:rsidP="003509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lastRenderedPageBreak/>
              <w:t>5</w:t>
            </w:r>
            <w:r w:rsidR="0035099E" w:rsidRPr="027BF381">
              <w:rPr>
                <w:rFonts w:asciiTheme="majorHAnsi" w:hAnsiTheme="majorHAnsi" w:cs="Arial"/>
                <w:sz w:val="18"/>
                <w:szCs w:val="18"/>
              </w:rPr>
              <w:t xml:space="preserve">. Design the Joint Programme </w:t>
            </w:r>
          </w:p>
          <w:p w14:paraId="417E4447" w14:textId="77777777" w:rsidR="0035099E" w:rsidRPr="00174A07" w:rsidRDefault="0035099E" w:rsidP="003509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97" w:type="dxa"/>
            <w:tcBorders>
              <w:left w:val="single" w:sz="18" w:space="0" w:color="FFFFFF" w:themeColor="background1"/>
            </w:tcBorders>
            <w:shd w:val="clear" w:color="auto" w:fill="DEE6F7"/>
          </w:tcPr>
          <w:p w14:paraId="07D827B2" w14:textId="6B3116DE" w:rsidR="003624FF" w:rsidRDefault="003624FF" w:rsidP="003624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 xml:space="preserve">Clarify which UN agency will be the lead/coordinating UN agency </w:t>
            </w:r>
          </w:p>
          <w:p w14:paraId="19414D8F" w14:textId="77777777" w:rsidR="003624FF" w:rsidRPr="00174A07" w:rsidRDefault="003624FF" w:rsidP="003624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Decide who will make key decisions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>and</w:t>
            </w: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 who will lead</w:t>
            </w:r>
          </w:p>
          <w:p w14:paraId="1C8D96F5" w14:textId="01BB9FFF" w:rsidR="0035099E" w:rsidRDefault="0035099E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>I</w:t>
            </w:r>
            <w:r w:rsidR="00BD7C5A">
              <w:rPr>
                <w:rFonts w:asciiTheme="majorHAnsi" w:hAnsiTheme="majorHAnsi"/>
                <w:iCs/>
                <w:sz w:val="18"/>
                <w:szCs w:val="18"/>
              </w:rPr>
              <w:t xml:space="preserve">dentify </w:t>
            </w: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key UN agencies </w:t>
            </w:r>
            <w:r w:rsidR="003624FF">
              <w:rPr>
                <w:rFonts w:asciiTheme="majorHAnsi" w:hAnsiTheme="majorHAnsi"/>
                <w:iCs/>
                <w:sz w:val="18"/>
                <w:szCs w:val="18"/>
              </w:rPr>
              <w:t>and</w:t>
            </w:r>
            <w:r w:rsidR="003624FF"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 </w:t>
            </w: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>their national counterparts</w:t>
            </w:r>
            <w:r w:rsidR="00BD7C5A">
              <w:rPr>
                <w:rFonts w:asciiTheme="majorHAnsi" w:hAnsiTheme="majorHAnsi"/>
                <w:iCs/>
                <w:sz w:val="18"/>
                <w:szCs w:val="18"/>
              </w:rPr>
              <w:t xml:space="preserve"> to be involved</w:t>
            </w:r>
          </w:p>
          <w:p w14:paraId="0054E10D" w14:textId="56952D25" w:rsidR="00BD7C5A" w:rsidRPr="00174A07" w:rsidRDefault="00BD7C5A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 xml:space="preserve">Have an initial, open discussion including with national partners and donors, to support consensus -building, and </w:t>
            </w:r>
            <w:r w:rsidR="006525F3">
              <w:rPr>
                <w:rFonts w:asciiTheme="majorHAnsi" w:hAnsiTheme="majorHAnsi"/>
                <w:iCs/>
                <w:sz w:val="18"/>
                <w:szCs w:val="18"/>
              </w:rPr>
              <w:t xml:space="preserve">national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 xml:space="preserve">ownership </w:t>
            </w:r>
          </w:p>
          <w:p w14:paraId="31582A18" w14:textId="06429D11" w:rsidR="0035099E" w:rsidRPr="00174A07" w:rsidRDefault="0035099E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 w:rsidRPr="027BF381">
              <w:rPr>
                <w:rFonts w:asciiTheme="majorHAnsi" w:hAnsiTheme="majorHAnsi"/>
                <w:sz w:val="18"/>
                <w:szCs w:val="18"/>
              </w:rPr>
              <w:t>De</w:t>
            </w:r>
            <w:r w:rsidR="00BD7C5A">
              <w:rPr>
                <w:rFonts w:asciiTheme="majorHAnsi" w:hAnsiTheme="majorHAnsi"/>
                <w:sz w:val="18"/>
                <w:szCs w:val="18"/>
              </w:rPr>
              <w:t xml:space="preserve">sign the </w:t>
            </w:r>
            <w:r w:rsidR="005172F8">
              <w:rPr>
                <w:rFonts w:asciiTheme="majorHAnsi" w:hAnsiTheme="majorHAnsi"/>
                <w:sz w:val="18"/>
                <w:szCs w:val="18"/>
              </w:rPr>
              <w:t>JGP</w:t>
            </w:r>
            <w:r w:rsidR="00BD7C5A">
              <w:rPr>
                <w:rFonts w:asciiTheme="majorHAnsi" w:hAnsiTheme="majorHAnsi"/>
                <w:sz w:val="18"/>
                <w:szCs w:val="18"/>
              </w:rPr>
              <w:t xml:space="preserve"> to support </w:t>
            </w:r>
            <w:r w:rsidR="006525F3">
              <w:rPr>
                <w:rFonts w:asciiTheme="majorHAnsi" w:hAnsiTheme="majorHAnsi"/>
                <w:sz w:val="18"/>
                <w:szCs w:val="18"/>
              </w:rPr>
              <w:t xml:space="preserve">the </w:t>
            </w:r>
            <w:r w:rsidR="00BD7C5A">
              <w:rPr>
                <w:rFonts w:asciiTheme="majorHAnsi" w:hAnsiTheme="majorHAnsi"/>
                <w:sz w:val="18"/>
                <w:szCs w:val="18"/>
              </w:rPr>
              <w:t>results and sustainability</w:t>
            </w:r>
            <w:r w:rsidR="006525F3">
              <w:rPr>
                <w:rFonts w:asciiTheme="majorHAnsi" w:hAnsiTheme="majorHAnsi"/>
                <w:sz w:val="18"/>
                <w:szCs w:val="18"/>
              </w:rPr>
              <w:t xml:space="preserve">, building on proven models and lessons learnt </w:t>
            </w:r>
            <w:r w:rsidR="00BD7C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E53AEDE" w14:textId="44905936" w:rsidR="0035099E" w:rsidRPr="00174A07" w:rsidRDefault="0035099E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 w:rsidRPr="306635B9">
              <w:rPr>
                <w:rFonts w:asciiTheme="majorHAnsi" w:hAnsiTheme="majorHAnsi"/>
                <w:sz w:val="18"/>
                <w:szCs w:val="18"/>
              </w:rPr>
              <w:t xml:space="preserve">Incorporate a multi-stakeholder approach that increases the awareness of how </w:t>
            </w:r>
            <w:r w:rsidR="006525F3">
              <w:rPr>
                <w:rFonts w:asciiTheme="majorHAnsi" w:hAnsiTheme="majorHAnsi"/>
                <w:sz w:val="18"/>
                <w:szCs w:val="18"/>
              </w:rPr>
              <w:t>GEWE</w:t>
            </w:r>
            <w:r w:rsidR="00BD7C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306635B9">
              <w:rPr>
                <w:rFonts w:asciiTheme="majorHAnsi" w:hAnsiTheme="majorHAnsi"/>
                <w:sz w:val="18"/>
                <w:szCs w:val="18"/>
              </w:rPr>
              <w:t>is relevant to development effectiveness</w:t>
            </w:r>
          </w:p>
          <w:p w14:paraId="767F2938" w14:textId="77777777" w:rsidR="00DD2042" w:rsidRPr="00DD2042" w:rsidRDefault="0035099E" w:rsidP="00DD204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>Discuss funding modalities</w:t>
            </w:r>
            <w:r w:rsidR="006525F3">
              <w:rPr>
                <w:rFonts w:asciiTheme="majorHAnsi" w:hAnsiTheme="majorHAnsi"/>
                <w:iCs/>
                <w:sz w:val="18"/>
                <w:szCs w:val="18"/>
              </w:rPr>
              <w:t xml:space="preserve"> during the design phase and include a resource mobilization strategy</w:t>
            </w:r>
          </w:p>
          <w:p w14:paraId="5E14AAFB" w14:textId="768F6769" w:rsidR="0035099E" w:rsidRPr="00174A07" w:rsidRDefault="006525F3" w:rsidP="00DD204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 xml:space="preserve">Clarify technical and human resources that agencies can contribute to the </w:t>
            </w:r>
            <w:r w:rsidR="005172F8">
              <w:rPr>
                <w:rFonts w:asciiTheme="majorHAnsi" w:hAnsiTheme="majorHAnsi"/>
                <w:iCs/>
                <w:sz w:val="18"/>
                <w:szCs w:val="18"/>
              </w:rPr>
              <w:t>JGP</w:t>
            </w:r>
          </w:p>
        </w:tc>
      </w:tr>
      <w:tr w:rsidR="006525F3" w:rsidRPr="0050153E" w14:paraId="76C89090" w14:textId="77777777" w:rsidTr="00DD2042">
        <w:trPr>
          <w:trHeight w:val="2259"/>
        </w:trPr>
        <w:tc>
          <w:tcPr>
            <w:tcW w:w="1483" w:type="dxa"/>
            <w:tcBorders>
              <w:right w:val="single" w:sz="18" w:space="0" w:color="FFFFFF" w:themeColor="background1"/>
            </w:tcBorders>
            <w:shd w:val="clear" w:color="auto" w:fill="B2CFED"/>
          </w:tcPr>
          <w:p w14:paraId="724FC6EF" w14:textId="46821792" w:rsidR="006525F3" w:rsidRPr="00174A07" w:rsidRDefault="006525F3" w:rsidP="006525F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6</w:t>
            </w:r>
            <w:r w:rsidRPr="027BF381">
              <w:rPr>
                <w:rFonts w:asciiTheme="majorHAnsi" w:hAnsiTheme="majorHAnsi" w:cs="Arial"/>
                <w:sz w:val="18"/>
                <w:szCs w:val="18"/>
              </w:rPr>
              <w:t xml:space="preserve">. 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Designing the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Logframe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 xml:space="preserve"> and design specifics </w:t>
            </w:r>
          </w:p>
          <w:p w14:paraId="15EFDD6D" w14:textId="77777777" w:rsidR="006525F3" w:rsidRPr="027BF381" w:rsidRDefault="006525F3" w:rsidP="006525F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797" w:type="dxa"/>
            <w:tcBorders>
              <w:left w:val="single" w:sz="18" w:space="0" w:color="FFFFFF" w:themeColor="background1"/>
            </w:tcBorders>
            <w:shd w:val="clear" w:color="auto" w:fill="DEE6F7"/>
          </w:tcPr>
          <w:p w14:paraId="798FC23F" w14:textId="5036488F" w:rsidR="006525F3" w:rsidRPr="00174A07" w:rsidRDefault="006525F3" w:rsidP="006525F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Ensure a clear understanding of key results-based management terminologies </w:t>
            </w:r>
          </w:p>
          <w:p w14:paraId="1B1BDBCE" w14:textId="6EE4E56D" w:rsidR="006525F3" w:rsidRPr="00174A07" w:rsidRDefault="006525F3" w:rsidP="006525F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Ensure presence of relevant GEWE </w:t>
            </w:r>
            <w:r w:rsidR="00061AB0">
              <w:rPr>
                <w:rFonts w:asciiTheme="majorHAnsi" w:hAnsiTheme="majorHAnsi"/>
                <w:sz w:val="18"/>
                <w:szCs w:val="18"/>
              </w:rPr>
              <w:t xml:space="preserve">and strategic planning </w:t>
            </w:r>
            <w:r w:rsidRPr="306635B9">
              <w:rPr>
                <w:rFonts w:asciiTheme="majorHAnsi" w:hAnsiTheme="majorHAnsi"/>
                <w:sz w:val="18"/>
                <w:szCs w:val="18"/>
              </w:rPr>
              <w:t>support</w:t>
            </w:r>
          </w:p>
          <w:p w14:paraId="16CC3D7D" w14:textId="2709439C" w:rsidR="006525F3" w:rsidRPr="00174A07" w:rsidRDefault="00061AB0" w:rsidP="006525F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Link results to relevant national planning frameworks and the UNSDCF outcomes and indicators on GEWE</w:t>
            </w:r>
          </w:p>
          <w:p w14:paraId="345F9B1C" w14:textId="7BEEFE87" w:rsidR="006525F3" w:rsidRPr="00174A07" w:rsidRDefault="00061AB0" w:rsidP="006525F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>Separate results that are easier to measures from more difficult to measure results</w:t>
            </w:r>
          </w:p>
          <w:p w14:paraId="4520E53A" w14:textId="77777777" w:rsidR="00061AB0" w:rsidRDefault="00061AB0" w:rsidP="006525F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 xml:space="preserve">Develop gender-specific outcomes and outputs and corresponding indicators </w:t>
            </w:r>
          </w:p>
          <w:p w14:paraId="52CE4B93" w14:textId="74E2A247" w:rsidR="006525F3" w:rsidRDefault="00061AB0" w:rsidP="006525F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 xml:space="preserve">Use a mix of qualitative and quantitative indicators </w:t>
            </w:r>
          </w:p>
          <w:p w14:paraId="1AC25367" w14:textId="77777777" w:rsidR="006525F3" w:rsidRDefault="00061AB0" w:rsidP="00061AB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 w:rsidRPr="00061AB0">
              <w:rPr>
                <w:rFonts w:asciiTheme="majorHAnsi" w:hAnsiTheme="majorHAnsi"/>
                <w:iCs/>
                <w:sz w:val="18"/>
                <w:szCs w:val="18"/>
              </w:rPr>
              <w:t>Aim to be specific about which groups of rights</w:t>
            </w:r>
            <w:r w:rsidRPr="004615D8">
              <w:rPr>
                <w:rFonts w:asciiTheme="majorHAnsi" w:hAnsiTheme="majorHAnsi"/>
                <w:iCs/>
                <w:sz w:val="18"/>
                <w:szCs w:val="18"/>
              </w:rPr>
              <w:t xml:space="preserve"> holders </w:t>
            </w:r>
            <w:r w:rsidRPr="00546EE0">
              <w:rPr>
                <w:rFonts w:asciiTheme="majorHAnsi" w:hAnsiTheme="majorHAnsi"/>
                <w:iCs/>
                <w:sz w:val="18"/>
                <w:szCs w:val="18"/>
              </w:rPr>
              <w:t xml:space="preserve">will be supported </w:t>
            </w:r>
          </w:p>
          <w:p w14:paraId="58CDC392" w14:textId="77777777" w:rsidR="00061AB0" w:rsidRDefault="00061AB0" w:rsidP="00061AB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>For indicators and baselines, draw on existing national-level data</w:t>
            </w:r>
          </w:p>
          <w:p w14:paraId="48DF4F57" w14:textId="77777777" w:rsidR="00061AB0" w:rsidRDefault="00061AB0" w:rsidP="00061AB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>Clarify risks and assumptions</w:t>
            </w:r>
          </w:p>
          <w:p w14:paraId="2E0E5466" w14:textId="17203008" w:rsidR="00DD2042" w:rsidRPr="00174A07" w:rsidRDefault="00DD2042" w:rsidP="00DD2042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left="299"/>
              <w:rPr>
                <w:rFonts w:asciiTheme="majorHAnsi" w:hAnsiTheme="majorHAnsi"/>
                <w:iCs/>
                <w:sz w:val="18"/>
                <w:szCs w:val="18"/>
              </w:rPr>
            </w:pPr>
          </w:p>
        </w:tc>
      </w:tr>
      <w:tr w:rsidR="0035099E" w:rsidRPr="0050153E" w14:paraId="0F51FA4E" w14:textId="77777777" w:rsidTr="306635B9">
        <w:trPr>
          <w:trHeight w:val="1179"/>
        </w:trPr>
        <w:tc>
          <w:tcPr>
            <w:tcW w:w="1483" w:type="dxa"/>
            <w:tcBorders>
              <w:right w:val="single" w:sz="18" w:space="0" w:color="FFFFFF" w:themeColor="background1"/>
            </w:tcBorders>
            <w:shd w:val="clear" w:color="auto" w:fill="B2CFED"/>
          </w:tcPr>
          <w:p w14:paraId="73494480" w14:textId="487E21C9" w:rsidR="0035099E" w:rsidRPr="00174A07" w:rsidRDefault="00061AB0" w:rsidP="003509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7</w:t>
            </w:r>
            <w:r w:rsidR="0035099E" w:rsidRPr="027BF381">
              <w:rPr>
                <w:rFonts w:asciiTheme="majorHAnsi" w:hAnsiTheme="majorHAnsi" w:cs="Arial"/>
                <w:sz w:val="18"/>
                <w:szCs w:val="18"/>
              </w:rPr>
              <w:t>. Knowledge Management</w:t>
            </w:r>
          </w:p>
          <w:p w14:paraId="5CD5CE78" w14:textId="77777777" w:rsidR="0035099E" w:rsidRPr="00174A07" w:rsidRDefault="0035099E" w:rsidP="003509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97" w:type="dxa"/>
            <w:tcBorders>
              <w:left w:val="single" w:sz="18" w:space="0" w:color="FFFFFF" w:themeColor="background1"/>
            </w:tcBorders>
            <w:shd w:val="clear" w:color="auto" w:fill="DEE6F7"/>
          </w:tcPr>
          <w:p w14:paraId="115EC80F" w14:textId="2062C2D2" w:rsidR="0035099E" w:rsidRPr="00174A07" w:rsidRDefault="0035099E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>Identify the knowledge needs of the partners involved</w:t>
            </w:r>
            <w:r w:rsidR="00061AB0">
              <w:rPr>
                <w:rFonts w:asciiTheme="majorHAnsi" w:hAnsiTheme="majorHAnsi"/>
                <w:iCs/>
                <w:sz w:val="18"/>
                <w:szCs w:val="18"/>
              </w:rPr>
              <w:t>,</w:t>
            </w: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 as well as of target groups for communication activities</w:t>
            </w:r>
          </w:p>
          <w:p w14:paraId="5D3F2071" w14:textId="0903E274" w:rsidR="00061AB0" w:rsidRDefault="00061AB0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 xml:space="preserve">Develop a knowledge management strategy linked to the monitoring, reporting and evaluation and communications components of the </w:t>
            </w:r>
            <w:r w:rsidR="000D5021">
              <w:rPr>
                <w:rFonts w:asciiTheme="majorHAnsi" w:hAnsiTheme="majorHAnsi"/>
                <w:iCs/>
                <w:sz w:val="18"/>
                <w:szCs w:val="18"/>
              </w:rPr>
              <w:t>JGP</w:t>
            </w:r>
          </w:p>
          <w:p w14:paraId="7C2DA197" w14:textId="29E2E7C6" w:rsidR="0035099E" w:rsidRPr="00174A07" w:rsidRDefault="0035099E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Identify an online tool/platform to share, organize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>and</w:t>
            </w: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 store the knowledge developed by the program</w:t>
            </w:r>
          </w:p>
          <w:p w14:paraId="5BC6D871" w14:textId="00E262E9" w:rsidR="0035099E" w:rsidRPr="004615D8" w:rsidRDefault="0035099E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Promote a </w:t>
            </w:r>
            <w:r w:rsidR="004615D8">
              <w:rPr>
                <w:rFonts w:asciiTheme="majorHAnsi" w:hAnsiTheme="majorHAnsi"/>
                <w:iCs/>
                <w:sz w:val="18"/>
                <w:szCs w:val="18"/>
              </w:rPr>
              <w:t xml:space="preserve">learning environment for </w:t>
            </w: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knowledge sharing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>and</w:t>
            </w: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 development of lessons learn</w:t>
            </w:r>
            <w:r w:rsidR="004615D8">
              <w:rPr>
                <w:rFonts w:asciiTheme="majorHAnsi" w:hAnsiTheme="majorHAnsi"/>
                <w:iCs/>
                <w:sz w:val="18"/>
                <w:szCs w:val="18"/>
              </w:rPr>
              <w:t>t</w:t>
            </w:r>
          </w:p>
          <w:p w14:paraId="0C5AE104" w14:textId="6F9C6B0D" w:rsidR="004615D8" w:rsidRPr="00DD2042" w:rsidRDefault="004615D8" w:rsidP="00DD204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 w:rsidRPr="004615D8">
              <w:rPr>
                <w:rFonts w:asciiTheme="majorHAnsi" w:hAnsiTheme="majorHAnsi"/>
                <w:sz w:val="18"/>
                <w:szCs w:val="18"/>
              </w:rPr>
              <w:t xml:space="preserve">Develop </w:t>
            </w:r>
            <w:r w:rsidRPr="00546EE0">
              <w:rPr>
                <w:rFonts w:asciiTheme="majorHAnsi" w:hAnsiTheme="majorHAnsi"/>
                <w:sz w:val="18"/>
                <w:szCs w:val="18"/>
              </w:rPr>
              <w:t xml:space="preserve">knowledge products and learning tools (for capacity </w:t>
            </w:r>
            <w:r w:rsidRPr="00A700F1">
              <w:rPr>
                <w:rFonts w:asciiTheme="majorHAnsi" w:hAnsiTheme="majorHAnsi"/>
                <w:sz w:val="18"/>
                <w:szCs w:val="18"/>
              </w:rPr>
              <w:t>developmen</w:t>
            </w:r>
            <w:r w:rsidRPr="00381C41">
              <w:rPr>
                <w:rFonts w:asciiTheme="majorHAnsi" w:hAnsiTheme="majorHAnsi"/>
                <w:sz w:val="18"/>
                <w:szCs w:val="18"/>
              </w:rPr>
              <w:t>t, advocacy and awareness raising)</w:t>
            </w:r>
            <w:r w:rsidRPr="00DD2042">
              <w:rPr>
                <w:rFonts w:asciiTheme="majorHAnsi" w:hAnsiTheme="majorHAnsi"/>
                <w:sz w:val="18"/>
                <w:szCs w:val="18"/>
              </w:rPr>
              <w:t>, aligned with knowledge needs, with a clear dissemination plan (with monitoring mechanisms)</w:t>
            </w:r>
          </w:p>
          <w:p w14:paraId="7D9D1C42" w14:textId="5E9EC791" w:rsidR="004615D8" w:rsidRPr="00DD2042" w:rsidRDefault="004615D8" w:rsidP="00DD204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099E" w:rsidRPr="0050153E" w14:paraId="016B110E" w14:textId="77777777" w:rsidTr="00DD2042">
        <w:trPr>
          <w:trHeight w:hRule="exact" w:val="2115"/>
        </w:trPr>
        <w:tc>
          <w:tcPr>
            <w:tcW w:w="1483" w:type="dxa"/>
            <w:tcBorders>
              <w:right w:val="single" w:sz="18" w:space="0" w:color="FFFFFF" w:themeColor="background1"/>
            </w:tcBorders>
            <w:shd w:val="clear" w:color="auto" w:fill="B2CFED"/>
          </w:tcPr>
          <w:p w14:paraId="56FC2C38" w14:textId="07F93F2B" w:rsidR="0035099E" w:rsidRPr="00174A07" w:rsidRDefault="004615D8" w:rsidP="003509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8</w:t>
            </w:r>
            <w:r w:rsidR="0035099E" w:rsidRPr="027BF381">
              <w:rPr>
                <w:rFonts w:asciiTheme="majorHAnsi" w:hAnsiTheme="majorHAnsi" w:cs="Arial"/>
                <w:sz w:val="18"/>
                <w:szCs w:val="18"/>
              </w:rPr>
              <w:t>.  Joint Gender Programme Management</w:t>
            </w:r>
          </w:p>
          <w:p w14:paraId="23394ECA" w14:textId="77777777" w:rsidR="0035099E" w:rsidRPr="00174A07" w:rsidRDefault="0035099E" w:rsidP="003509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97" w:type="dxa"/>
            <w:tcBorders>
              <w:left w:val="single" w:sz="18" w:space="0" w:color="FFFFFF" w:themeColor="background1"/>
            </w:tcBorders>
            <w:shd w:val="clear" w:color="auto" w:fill="DEE6F7"/>
          </w:tcPr>
          <w:p w14:paraId="68906B2E" w14:textId="5A7DB6F2" w:rsidR="0035099E" w:rsidRPr="00174A07" w:rsidRDefault="0035099E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Establish a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 xml:space="preserve">multi-stakeholder </w:t>
            </w: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>senior policy-level steering committee</w:t>
            </w:r>
            <w:r w:rsidR="004615D8">
              <w:rPr>
                <w:rFonts w:asciiTheme="majorHAnsi" w:hAnsiTheme="majorHAnsi"/>
                <w:iCs/>
                <w:sz w:val="18"/>
                <w:szCs w:val="18"/>
              </w:rPr>
              <w:t xml:space="preserve"> (including government, civil society, academia, UN and donors etc.)</w:t>
            </w: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 </w:t>
            </w:r>
          </w:p>
          <w:p w14:paraId="076CAEB6" w14:textId="7E5278C6" w:rsidR="0035099E" w:rsidRPr="00174A07" w:rsidRDefault="0035099E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Integrate gender advisors at </w:t>
            </w:r>
            <w:r w:rsidR="004615D8">
              <w:rPr>
                <w:rFonts w:asciiTheme="majorHAnsi" w:hAnsiTheme="majorHAnsi"/>
                <w:iCs/>
                <w:sz w:val="18"/>
                <w:szCs w:val="18"/>
              </w:rPr>
              <w:t xml:space="preserve">integrated into </w:t>
            </w: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>all levels of the management structure</w:t>
            </w:r>
          </w:p>
          <w:p w14:paraId="6F773E47" w14:textId="7FF902C6" w:rsidR="0035099E" w:rsidRPr="00174A07" w:rsidRDefault="0035099E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Devise management </w:t>
            </w:r>
            <w:r w:rsidR="004615D8">
              <w:rPr>
                <w:rFonts w:asciiTheme="majorHAnsi" w:hAnsiTheme="majorHAnsi"/>
                <w:iCs/>
                <w:sz w:val="18"/>
                <w:szCs w:val="18"/>
              </w:rPr>
              <w:t>and</w:t>
            </w:r>
            <w:r w:rsidR="004615D8"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 </w:t>
            </w: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leadership strategies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>and</w:t>
            </w: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 a management plan</w:t>
            </w:r>
            <w:r w:rsidR="004615D8">
              <w:rPr>
                <w:rFonts w:asciiTheme="majorHAnsi" w:hAnsiTheme="majorHAnsi"/>
                <w:iCs/>
                <w:sz w:val="18"/>
                <w:szCs w:val="18"/>
              </w:rPr>
              <w:t xml:space="preserve"> which is understandable to stakeholders</w:t>
            </w:r>
          </w:p>
          <w:p w14:paraId="40DD35F0" w14:textId="52C70874" w:rsidR="0035099E" w:rsidRPr="00174A07" w:rsidRDefault="0035099E" w:rsidP="00DD204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Involve gender specialists at all levels in operational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>and</w:t>
            </w: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 advisory capacities</w:t>
            </w:r>
          </w:p>
        </w:tc>
      </w:tr>
      <w:tr w:rsidR="0035099E" w:rsidRPr="0050153E" w14:paraId="11F740B9" w14:textId="77777777" w:rsidTr="00DD2042">
        <w:trPr>
          <w:trHeight w:hRule="exact" w:val="3645"/>
        </w:trPr>
        <w:tc>
          <w:tcPr>
            <w:tcW w:w="1483" w:type="dxa"/>
            <w:tcBorders>
              <w:right w:val="single" w:sz="18" w:space="0" w:color="FFFFFF" w:themeColor="background1"/>
            </w:tcBorders>
            <w:shd w:val="clear" w:color="auto" w:fill="B2CFED"/>
          </w:tcPr>
          <w:p w14:paraId="037A09E6" w14:textId="3D95F4DF" w:rsidR="0035099E" w:rsidRPr="00174A07" w:rsidRDefault="004615D8" w:rsidP="003509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lastRenderedPageBreak/>
              <w:t>9</w:t>
            </w:r>
            <w:r w:rsidR="0035099E" w:rsidRPr="027BF381">
              <w:rPr>
                <w:rFonts w:asciiTheme="majorHAnsi" w:hAnsiTheme="majorHAnsi" w:cs="Arial"/>
                <w:sz w:val="18"/>
                <w:szCs w:val="18"/>
              </w:rPr>
              <w:t>.  Monitoring</w:t>
            </w:r>
            <w:r w:rsidR="00013694">
              <w:rPr>
                <w:rFonts w:asciiTheme="majorHAnsi" w:hAnsiTheme="majorHAnsi" w:cs="Arial"/>
                <w:sz w:val="18"/>
                <w:szCs w:val="18"/>
              </w:rPr>
              <w:t xml:space="preserve"> &amp; Reporting</w:t>
            </w:r>
            <w:r w:rsidR="0035099E" w:rsidRPr="027BF381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="00013694">
              <w:rPr>
                <w:rFonts w:asciiTheme="majorHAnsi" w:hAnsiTheme="majorHAnsi" w:cs="Arial"/>
                <w:sz w:val="18"/>
                <w:szCs w:val="18"/>
              </w:rPr>
              <w:t xml:space="preserve">and </w:t>
            </w:r>
            <w:r w:rsidR="0035099E" w:rsidRPr="027BF381">
              <w:rPr>
                <w:rFonts w:asciiTheme="majorHAnsi" w:hAnsiTheme="majorHAnsi" w:cs="Arial"/>
                <w:sz w:val="18"/>
                <w:szCs w:val="18"/>
              </w:rPr>
              <w:t>Evaluation</w:t>
            </w:r>
            <w:r w:rsidR="00013694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="00546EE0">
              <w:rPr>
                <w:rFonts w:asciiTheme="majorHAnsi" w:hAnsiTheme="majorHAnsi" w:cs="Arial"/>
                <w:sz w:val="18"/>
                <w:szCs w:val="18"/>
              </w:rPr>
              <w:t xml:space="preserve"> (M&amp;R and E)</w:t>
            </w:r>
          </w:p>
          <w:p w14:paraId="7BDA7ECA" w14:textId="77777777" w:rsidR="0035099E" w:rsidRPr="00174A07" w:rsidRDefault="0035099E" w:rsidP="003509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97" w:type="dxa"/>
            <w:tcBorders>
              <w:left w:val="single" w:sz="18" w:space="0" w:color="FFFFFF" w:themeColor="background1"/>
            </w:tcBorders>
            <w:shd w:val="clear" w:color="auto" w:fill="DEE6F7"/>
          </w:tcPr>
          <w:p w14:paraId="6F3C957F" w14:textId="7D947D20" w:rsidR="004615D8" w:rsidRDefault="004615D8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Ensure adequate technical assistance from M&amp;</w:t>
            </w:r>
            <w:r w:rsidR="00546EE0">
              <w:rPr>
                <w:rFonts w:asciiTheme="majorHAnsi" w:hAnsiTheme="majorHAnsi"/>
                <w:sz w:val="18"/>
                <w:szCs w:val="18"/>
              </w:rPr>
              <w:t xml:space="preserve">R and </w:t>
            </w:r>
            <w:r>
              <w:rPr>
                <w:rFonts w:asciiTheme="majorHAnsi" w:hAnsiTheme="majorHAnsi"/>
                <w:sz w:val="18"/>
                <w:szCs w:val="18"/>
              </w:rPr>
              <w:t>E specialists</w:t>
            </w:r>
          </w:p>
          <w:p w14:paraId="12B76731" w14:textId="77777777" w:rsidR="004615D8" w:rsidRDefault="004615D8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Determine if there is a minimum set of national relevant gender-specific indicators that can be used to measure change</w:t>
            </w:r>
          </w:p>
          <w:p w14:paraId="3F02EE47" w14:textId="29738D2E" w:rsidR="004615D8" w:rsidRPr="00174A07" w:rsidRDefault="004615D8" w:rsidP="004615D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Set up a baseline within 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>six</w:t>
            </w: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 months of the start of the </w:t>
            </w:r>
            <w:r w:rsidR="00013694">
              <w:rPr>
                <w:rFonts w:asciiTheme="majorHAnsi" w:hAnsiTheme="majorHAnsi"/>
                <w:iCs/>
                <w:sz w:val="18"/>
                <w:szCs w:val="18"/>
              </w:rPr>
              <w:t>JGP</w:t>
            </w:r>
          </w:p>
          <w:p w14:paraId="262C85F1" w14:textId="77777777" w:rsidR="00546EE0" w:rsidRDefault="004615D8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Standardize reporting formats </w:t>
            </w:r>
            <w:r w:rsidR="00546EE0">
              <w:rPr>
                <w:rFonts w:asciiTheme="majorHAnsi" w:hAnsiTheme="majorHAnsi"/>
                <w:sz w:val="18"/>
                <w:szCs w:val="18"/>
              </w:rPr>
              <w:t xml:space="preserve">-applicable to all collaborating partners </w:t>
            </w:r>
          </w:p>
          <w:p w14:paraId="1438CBF4" w14:textId="5902CB4A" w:rsidR="00546EE0" w:rsidRDefault="00546EE0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Use the UN Evaluations Group Guidance for Integrating Human Rights and Gender Equality in Evaluations</w:t>
            </w:r>
          </w:p>
          <w:p w14:paraId="195E91FC" w14:textId="2694C920" w:rsidR="0035099E" w:rsidRPr="00174A07" w:rsidRDefault="00546EE0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Employ a </w:t>
            </w:r>
            <w:r w:rsidR="00A700F1">
              <w:rPr>
                <w:rFonts w:asciiTheme="majorHAnsi" w:hAnsiTheme="majorHAnsi"/>
                <w:sz w:val="18"/>
                <w:szCs w:val="18"/>
              </w:rPr>
              <w:t>mixed methods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approach for evaluations using qualitative and quantitative techniques appropriate for addressing GEWE. </w:t>
            </w:r>
            <w:r w:rsidR="0035099E" w:rsidRPr="027BF381">
              <w:rPr>
                <w:rFonts w:asciiTheme="majorHAnsi" w:hAnsiTheme="majorHAnsi"/>
                <w:sz w:val="18"/>
                <w:szCs w:val="18"/>
              </w:rPr>
              <w:t>y engaged in reporting</w:t>
            </w:r>
          </w:p>
          <w:p w14:paraId="0E093E41" w14:textId="1D7106F4" w:rsidR="00546EE0" w:rsidRPr="00DD2042" w:rsidRDefault="00546EE0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Ensure that the program has staff responsible for M&amp;R and E and </w:t>
            </w:r>
            <w:r w:rsidR="00E56A33">
              <w:rPr>
                <w:rFonts w:asciiTheme="majorHAnsi" w:hAnsiTheme="majorHAnsi"/>
                <w:sz w:val="18"/>
                <w:szCs w:val="18"/>
              </w:rPr>
              <w:t xml:space="preserve">provide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the M&amp;R and E staff with GEWE expertise and capacity support    </w:t>
            </w:r>
          </w:p>
          <w:p w14:paraId="083F069A" w14:textId="1DA22B92" w:rsidR="0035099E" w:rsidRPr="00174A07" w:rsidRDefault="00546EE0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Build capacities of and provide technical assistance to partners on gender </w:t>
            </w:r>
            <w:r w:rsidR="0035099E" w:rsidRPr="306635B9">
              <w:rPr>
                <w:rFonts w:asciiTheme="majorHAnsi" w:hAnsiTheme="majorHAnsi"/>
                <w:sz w:val="18"/>
                <w:szCs w:val="18"/>
              </w:rPr>
              <w:t>gender-responsive M</w:t>
            </w:r>
            <w:r>
              <w:rPr>
                <w:rFonts w:asciiTheme="majorHAnsi" w:hAnsiTheme="majorHAnsi"/>
                <w:sz w:val="18"/>
                <w:szCs w:val="18"/>
              </w:rPr>
              <w:t>&amp;</w:t>
            </w:r>
            <w:r w:rsidR="0035099E" w:rsidRPr="306635B9">
              <w:rPr>
                <w:rFonts w:asciiTheme="majorHAnsi" w:hAnsiTheme="majorHAnsi"/>
                <w:sz w:val="18"/>
                <w:szCs w:val="18"/>
              </w:rPr>
              <w:t>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and </w:t>
            </w:r>
            <w:r w:rsidR="0035099E" w:rsidRPr="306635B9">
              <w:rPr>
                <w:rFonts w:asciiTheme="majorHAnsi" w:hAnsiTheme="majorHAnsi"/>
                <w:sz w:val="18"/>
                <w:szCs w:val="18"/>
              </w:rPr>
              <w:t>E</w:t>
            </w:r>
          </w:p>
          <w:p w14:paraId="74ECF5DE" w14:textId="15C6D564" w:rsidR="0035099E" w:rsidRPr="00174A07" w:rsidRDefault="00546EE0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M&amp;R and E efforts need to be adequately resourced and the resources clearly identified</w:t>
            </w:r>
            <w:r w:rsidR="00E56A33">
              <w:rPr>
                <w:rFonts w:asciiTheme="majorHAnsi" w:hAnsiTheme="majorHAnsi"/>
                <w:sz w:val="18"/>
                <w:szCs w:val="18"/>
              </w:rPr>
              <w:t xml:space="preserve"> in the budget</w:t>
            </w:r>
          </w:p>
          <w:p w14:paraId="0EC40B6E" w14:textId="092D9923" w:rsidR="0035099E" w:rsidRPr="00722E9C" w:rsidRDefault="0035099E" w:rsidP="00DD2042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left="299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099E" w:rsidRPr="0050153E" w14:paraId="06E3F7F1" w14:textId="77777777" w:rsidTr="00DD2042">
        <w:trPr>
          <w:trHeight w:val="1440"/>
        </w:trPr>
        <w:tc>
          <w:tcPr>
            <w:tcW w:w="1483" w:type="dxa"/>
            <w:tcBorders>
              <w:right w:val="single" w:sz="18" w:space="0" w:color="FFFFFF" w:themeColor="background1"/>
            </w:tcBorders>
            <w:shd w:val="clear" w:color="auto" w:fill="B2CFED"/>
          </w:tcPr>
          <w:p w14:paraId="557AB0CE" w14:textId="0EEA54E9" w:rsidR="0035099E" w:rsidRPr="00174A07" w:rsidRDefault="00546EE0" w:rsidP="003509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</w:t>
            </w:r>
            <w:r w:rsidR="0035099E" w:rsidRPr="027BF381">
              <w:rPr>
                <w:rFonts w:asciiTheme="majorHAnsi" w:hAnsiTheme="majorHAnsi" w:cs="Arial"/>
                <w:sz w:val="18"/>
                <w:szCs w:val="18"/>
              </w:rPr>
              <w:t>.  Sustainability</w:t>
            </w:r>
          </w:p>
          <w:p w14:paraId="5EDDA022" w14:textId="77777777" w:rsidR="0035099E" w:rsidRPr="00174A07" w:rsidRDefault="0035099E" w:rsidP="003509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97" w:type="dxa"/>
            <w:tcBorders>
              <w:left w:val="single" w:sz="18" w:space="0" w:color="FFFFFF" w:themeColor="background1"/>
            </w:tcBorders>
            <w:shd w:val="clear" w:color="auto" w:fill="DEE6F7"/>
          </w:tcPr>
          <w:p w14:paraId="77551542" w14:textId="4EC83A52" w:rsidR="0035099E" w:rsidRDefault="0035099E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Develop a sustainability plan to determine shared responsibilities for sustaining progress on gender equality after the </w:t>
            </w:r>
            <w:r w:rsidR="00E56A33">
              <w:rPr>
                <w:rFonts w:asciiTheme="majorHAnsi" w:hAnsiTheme="majorHAnsi"/>
                <w:iCs/>
                <w:sz w:val="18"/>
                <w:szCs w:val="18"/>
              </w:rPr>
              <w:t>JGP</w:t>
            </w:r>
            <w:r w:rsidR="00E56A33"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 </w:t>
            </w: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>ends</w:t>
            </w:r>
          </w:p>
          <w:p w14:paraId="04E1EE6C" w14:textId="783D3318" w:rsidR="00546EE0" w:rsidRPr="00174A07" w:rsidRDefault="00546EE0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>Building in capacity building support of national partners as part of the sustainability plan i.e. organizational capacities</w:t>
            </w:r>
          </w:p>
          <w:p w14:paraId="0B13CB8E" w14:textId="2520D4E6" w:rsidR="0035099E" w:rsidRPr="00546EE0" w:rsidRDefault="0035099E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 w:rsidRPr="00174A07">
              <w:rPr>
                <w:rFonts w:asciiTheme="majorHAnsi" w:hAnsiTheme="majorHAnsi"/>
                <w:iCs/>
                <w:sz w:val="18"/>
                <w:szCs w:val="18"/>
              </w:rPr>
              <w:t xml:space="preserve">Build political will for </w:t>
            </w:r>
            <w:r w:rsidR="00546EE0">
              <w:rPr>
                <w:rFonts w:asciiTheme="majorHAnsi" w:hAnsiTheme="majorHAnsi"/>
                <w:iCs/>
                <w:sz w:val="18"/>
                <w:szCs w:val="18"/>
              </w:rPr>
              <w:t>GEWE</w:t>
            </w:r>
          </w:p>
          <w:p w14:paraId="0BB89DF9" w14:textId="77777777" w:rsidR="00546EE0" w:rsidRDefault="0042151F" w:rsidP="003509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99" w:hanging="299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Build in a good communications strategy to build momentum around the </w:t>
            </w:r>
            <w:r w:rsidR="00E56A33">
              <w:rPr>
                <w:rFonts w:asciiTheme="majorHAnsi" w:hAnsiTheme="majorHAnsi"/>
                <w:sz w:val="18"/>
                <w:szCs w:val="18"/>
              </w:rPr>
              <w:t>JGP</w:t>
            </w:r>
          </w:p>
          <w:p w14:paraId="161D8E2C" w14:textId="70125E4D" w:rsidR="00DD2042" w:rsidRPr="00174A07" w:rsidRDefault="00DD2042" w:rsidP="00DD2042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left="299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8D2C684" w14:textId="5916A0BA" w:rsidR="00FF2449" w:rsidRPr="00722E9C" w:rsidRDefault="00FF2449">
      <w:pPr>
        <w:rPr>
          <w:sz w:val="22"/>
          <w:szCs w:val="22"/>
        </w:rPr>
      </w:pPr>
    </w:p>
    <w:p w14:paraId="0D2AE396" w14:textId="77777777" w:rsidR="004945AE" w:rsidRPr="004945AE" w:rsidRDefault="004945AE" w:rsidP="004945AE">
      <w:pPr>
        <w:jc w:val="center"/>
      </w:pPr>
    </w:p>
    <w:p w14:paraId="4BD06B32" w14:textId="2DED2B67" w:rsidR="15A9D3A4" w:rsidRDefault="15A9D3A4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7EA6DD2A" w14:textId="627F90C9" w:rsidR="00A700F1" w:rsidRDefault="00A700F1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52E26B06" w14:textId="5330B69F" w:rsidR="00A700F1" w:rsidRDefault="00A700F1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0EDACBC1" w14:textId="7AC7645B" w:rsidR="00A700F1" w:rsidRDefault="00A700F1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4E61EE92" w14:textId="1E0A2617" w:rsidR="00A700F1" w:rsidRDefault="00A700F1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06640C09" w14:textId="472E7A47" w:rsidR="00A700F1" w:rsidRDefault="00A700F1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5D15DACB" w14:textId="2A779841" w:rsidR="00A700F1" w:rsidRDefault="00A700F1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4918CEC7" w14:textId="57C187FA" w:rsidR="00A700F1" w:rsidRDefault="00A700F1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368A59F0" w14:textId="74A9170A" w:rsidR="00A700F1" w:rsidRDefault="00A700F1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15E5C615" w14:textId="2AECD964" w:rsidR="00A700F1" w:rsidRDefault="00A700F1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5B5C88EC" w14:textId="07FDBD66" w:rsidR="00A700F1" w:rsidRDefault="00A700F1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2C57A89B" w14:textId="39EBFEC7" w:rsidR="00A700F1" w:rsidRDefault="00A700F1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2D99E22C" w14:textId="03868F93" w:rsidR="00A700F1" w:rsidRDefault="00A700F1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5C3EA8DB" w14:textId="6AE0CB13" w:rsidR="00A700F1" w:rsidRDefault="00A700F1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4CDB78DC" w14:textId="1AB86B90" w:rsidR="00A700F1" w:rsidRDefault="00A700F1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30032C69" w14:textId="04CB7B5C" w:rsidR="00A700F1" w:rsidRDefault="00A700F1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0D482947" w14:textId="24644CC1" w:rsidR="00A700F1" w:rsidRDefault="00A700F1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36E1584A" w14:textId="7E04CFFE" w:rsidR="00A700F1" w:rsidRDefault="00A700F1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19AC3D8F" w14:textId="4490FF72" w:rsidR="00A700F1" w:rsidRDefault="00A700F1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09A495C7" w14:textId="0A12B336" w:rsidR="00DD2042" w:rsidRDefault="00DD2042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0A71CFC6" w14:textId="4B3C9866" w:rsidR="00DD2042" w:rsidRDefault="00DD2042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6EAF671B" w14:textId="77777777" w:rsidR="00DD2042" w:rsidRDefault="00DD2042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5E31EC4D" w14:textId="3C431D1D" w:rsidR="00A700F1" w:rsidRDefault="00A700F1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75C0C4E3" w14:textId="7F4E331E" w:rsidR="00A700F1" w:rsidRDefault="00A700F1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760C136F" w14:textId="48528E2C" w:rsidR="00A700F1" w:rsidRDefault="00A700F1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222509C6" w14:textId="77777777" w:rsidR="00A700F1" w:rsidRDefault="00A700F1" w:rsidP="15A9D3A4">
      <w:pPr>
        <w:jc w:val="center"/>
        <w:rPr>
          <w:rFonts w:asciiTheme="minorHAnsi" w:eastAsia="Calibri" w:hAnsiTheme="minorHAnsi" w:cs="Arial"/>
          <w:b/>
          <w:bCs/>
          <w:sz w:val="22"/>
          <w:szCs w:val="22"/>
          <w:u w:val="single"/>
          <w:lang w:eastAsia="en-CA"/>
        </w:rPr>
      </w:pPr>
    </w:p>
    <w:p w14:paraId="0A52CD8E" w14:textId="5C52B5D7" w:rsidR="00FF2449" w:rsidRPr="00DA22DC" w:rsidRDefault="00FF2449" w:rsidP="00FF2449">
      <w:pPr>
        <w:autoSpaceDE w:val="0"/>
        <w:autoSpaceDN w:val="0"/>
        <w:adjustRightInd w:val="0"/>
        <w:contextualSpacing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CA"/>
        </w:rPr>
      </w:pPr>
      <w:r w:rsidRPr="00DA22DC">
        <w:rPr>
          <w:rFonts w:asciiTheme="minorHAnsi" w:eastAsia="Calibri" w:hAnsiTheme="minorHAnsi" w:cs="Arial"/>
          <w:b/>
          <w:sz w:val="22"/>
          <w:szCs w:val="22"/>
          <w:u w:val="single"/>
          <w:lang w:eastAsia="en-CA"/>
        </w:rPr>
        <w:lastRenderedPageBreak/>
        <w:t xml:space="preserve">Success Factors in Implementing Joint Gender Programmes </w:t>
      </w:r>
      <w:r w:rsidR="00E56A33">
        <w:rPr>
          <w:rFonts w:asciiTheme="minorHAnsi" w:eastAsia="Calibri" w:hAnsiTheme="minorHAnsi" w:cs="Arial"/>
          <w:b/>
          <w:sz w:val="22"/>
          <w:szCs w:val="22"/>
          <w:u w:val="single"/>
          <w:lang w:eastAsia="en-CA"/>
        </w:rPr>
        <w:t>(JGPs)</w:t>
      </w:r>
    </w:p>
    <w:p w14:paraId="25A47064" w14:textId="77777777" w:rsidR="00FF2449" w:rsidRPr="00722E9C" w:rsidRDefault="00FF2449" w:rsidP="00FF2449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CA"/>
        </w:rPr>
      </w:pPr>
    </w:p>
    <w:p w14:paraId="307881D3" w14:textId="77777777" w:rsidR="00FF2449" w:rsidRPr="00722E9C" w:rsidRDefault="00FF2449" w:rsidP="00FF2449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2"/>
          <w:szCs w:val="22"/>
          <w:lang w:eastAsia="en-CA"/>
        </w:rPr>
      </w:pPr>
      <w:r w:rsidRPr="00722E9C">
        <w:rPr>
          <w:rFonts w:asciiTheme="minorHAnsi" w:eastAsia="Calibri" w:hAnsiTheme="minorHAnsi" w:cs="Arial"/>
          <w:b/>
          <w:sz w:val="22"/>
          <w:szCs w:val="22"/>
          <w:lang w:eastAsia="en-CA"/>
        </w:rPr>
        <w:t>1. Making coordination, consensus-building and negotiation work</w:t>
      </w:r>
    </w:p>
    <w:p w14:paraId="1A1938CC" w14:textId="07145364" w:rsidR="00FF2449" w:rsidRPr="00722E9C" w:rsidRDefault="42C079A1" w:rsidP="00FF2449">
      <w:pPr>
        <w:pStyle w:val="ListParagraph"/>
        <w:numPr>
          <w:ilvl w:val="0"/>
          <w:numId w:val="4"/>
        </w:numPr>
        <w:spacing w:after="0"/>
        <w:ind w:left="590"/>
        <w:rPr>
          <w:sz w:val="22"/>
          <w:szCs w:val="22"/>
        </w:rPr>
      </w:pPr>
      <w:r w:rsidRPr="306635B9">
        <w:rPr>
          <w:sz w:val="22"/>
          <w:szCs w:val="22"/>
        </w:rPr>
        <w:t xml:space="preserve">Have a strong, well-resourced dedicated coordination function in place with staff who have expertise in gender equality, but </w:t>
      </w:r>
      <w:r w:rsidR="4E2A1A30" w:rsidRPr="306635B9">
        <w:rPr>
          <w:sz w:val="22"/>
          <w:szCs w:val="22"/>
        </w:rPr>
        <w:t xml:space="preserve">are </w:t>
      </w:r>
      <w:r w:rsidRPr="306635B9">
        <w:rPr>
          <w:sz w:val="22"/>
          <w:szCs w:val="22"/>
        </w:rPr>
        <w:t>also trained in conflict management and/or negotiation skills</w:t>
      </w:r>
    </w:p>
    <w:p w14:paraId="54A4A5FA" w14:textId="77944FB2" w:rsidR="00FF2449" w:rsidRPr="00722E9C" w:rsidRDefault="00FF2449" w:rsidP="00FF2449">
      <w:pPr>
        <w:pStyle w:val="ListParagraph"/>
        <w:numPr>
          <w:ilvl w:val="0"/>
          <w:numId w:val="4"/>
        </w:numPr>
        <w:spacing w:after="0"/>
        <w:ind w:left="590"/>
        <w:rPr>
          <w:sz w:val="22"/>
          <w:szCs w:val="22"/>
        </w:rPr>
      </w:pPr>
      <w:r w:rsidRPr="00722E9C">
        <w:rPr>
          <w:sz w:val="22"/>
          <w:szCs w:val="22"/>
        </w:rPr>
        <w:t>About four UN agencies is a good number to be involved in a JGP</w:t>
      </w:r>
      <w:r w:rsidR="00722E9C">
        <w:rPr>
          <w:sz w:val="22"/>
          <w:szCs w:val="22"/>
        </w:rPr>
        <w:t xml:space="preserve">; consider including a mix of agencies with varying technical gender capacities as a means of fostering stronger coordination and building skills across the UN system </w:t>
      </w:r>
      <w:r w:rsidR="00E55A08">
        <w:rPr>
          <w:sz w:val="22"/>
          <w:szCs w:val="22"/>
        </w:rPr>
        <w:t>on GEWE</w:t>
      </w:r>
    </w:p>
    <w:p w14:paraId="4B8046AE" w14:textId="15611C8E" w:rsidR="00FF2449" w:rsidRPr="00722E9C" w:rsidRDefault="42C079A1" w:rsidP="00FF2449">
      <w:pPr>
        <w:pStyle w:val="ListParagraph"/>
        <w:numPr>
          <w:ilvl w:val="0"/>
          <w:numId w:val="4"/>
        </w:numPr>
        <w:spacing w:after="0"/>
        <w:ind w:left="590"/>
        <w:rPr>
          <w:sz w:val="22"/>
          <w:szCs w:val="22"/>
        </w:rPr>
      </w:pPr>
      <w:r w:rsidRPr="306635B9">
        <w:rPr>
          <w:sz w:val="22"/>
          <w:szCs w:val="22"/>
        </w:rPr>
        <w:t>Establish good UNCT coordination mechanisms and then set up coordination structures with national partners, ensuring N</w:t>
      </w:r>
      <w:r w:rsidR="41A6B0C4" w:rsidRPr="306635B9">
        <w:rPr>
          <w:sz w:val="22"/>
          <w:szCs w:val="22"/>
        </w:rPr>
        <w:t>ational Women’s Machineries</w:t>
      </w:r>
      <w:r w:rsidRPr="306635B9">
        <w:rPr>
          <w:sz w:val="22"/>
          <w:szCs w:val="22"/>
        </w:rPr>
        <w:t xml:space="preserve"> and CSOs are included </w:t>
      </w:r>
    </w:p>
    <w:p w14:paraId="13245968" w14:textId="3266BEE8" w:rsidR="00FF2449" w:rsidRPr="00722E9C" w:rsidRDefault="00FF2449" w:rsidP="00FF2449">
      <w:pPr>
        <w:pStyle w:val="ListParagraph"/>
        <w:numPr>
          <w:ilvl w:val="0"/>
          <w:numId w:val="4"/>
        </w:numPr>
        <w:ind w:left="590"/>
        <w:rPr>
          <w:sz w:val="22"/>
          <w:szCs w:val="22"/>
        </w:rPr>
      </w:pPr>
      <w:r w:rsidRPr="00722E9C">
        <w:rPr>
          <w:sz w:val="22"/>
          <w:szCs w:val="22"/>
        </w:rPr>
        <w:t>Be clear in the programme document about w</w:t>
      </w:r>
      <w:r w:rsidR="004A7057">
        <w:rPr>
          <w:sz w:val="22"/>
          <w:szCs w:val="22"/>
        </w:rPr>
        <w:t xml:space="preserve">ith whom the </w:t>
      </w:r>
      <w:r w:rsidR="00210365">
        <w:rPr>
          <w:sz w:val="22"/>
          <w:szCs w:val="22"/>
        </w:rPr>
        <w:t xml:space="preserve">responsibility </w:t>
      </w:r>
      <w:r w:rsidR="004A7057">
        <w:rPr>
          <w:sz w:val="22"/>
          <w:szCs w:val="22"/>
        </w:rPr>
        <w:t>lies,</w:t>
      </w:r>
      <w:r w:rsidR="00210365">
        <w:rPr>
          <w:sz w:val="22"/>
          <w:szCs w:val="22"/>
        </w:rPr>
        <w:t xml:space="preserve"> </w:t>
      </w:r>
      <w:r w:rsidR="004A7057">
        <w:rPr>
          <w:sz w:val="22"/>
          <w:szCs w:val="22"/>
        </w:rPr>
        <w:t xml:space="preserve">for the </w:t>
      </w:r>
      <w:r w:rsidR="00AA7AF1">
        <w:rPr>
          <w:sz w:val="22"/>
          <w:szCs w:val="22"/>
        </w:rPr>
        <w:t>re-</w:t>
      </w:r>
      <w:r w:rsidR="004A7057">
        <w:rPr>
          <w:sz w:val="22"/>
          <w:szCs w:val="22"/>
        </w:rPr>
        <w:t xml:space="preserve">allocation of </w:t>
      </w:r>
      <w:r w:rsidRPr="00722E9C">
        <w:rPr>
          <w:sz w:val="22"/>
          <w:szCs w:val="22"/>
        </w:rPr>
        <w:t>resource</w:t>
      </w:r>
      <w:r w:rsidR="00907A12">
        <w:rPr>
          <w:sz w:val="22"/>
          <w:szCs w:val="22"/>
        </w:rPr>
        <w:t>s,</w:t>
      </w:r>
      <w:r w:rsidR="004A7057">
        <w:rPr>
          <w:sz w:val="22"/>
          <w:szCs w:val="22"/>
        </w:rPr>
        <w:t xml:space="preserve"> when necessary</w:t>
      </w:r>
    </w:p>
    <w:p w14:paraId="7486963D" w14:textId="3B43121C" w:rsidR="00FF2449" w:rsidRPr="00722E9C" w:rsidRDefault="00FF2449" w:rsidP="00FF2449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2"/>
          <w:szCs w:val="22"/>
          <w:lang w:eastAsia="en-CA"/>
        </w:rPr>
      </w:pPr>
      <w:r w:rsidRPr="00722E9C">
        <w:rPr>
          <w:rFonts w:asciiTheme="minorHAnsi" w:eastAsia="Calibri" w:hAnsiTheme="minorHAnsi" w:cs="Arial"/>
          <w:b/>
          <w:sz w:val="22"/>
          <w:szCs w:val="22"/>
          <w:lang w:eastAsia="en-CA"/>
        </w:rPr>
        <w:t xml:space="preserve">2. Ensuring good communication among </w:t>
      </w:r>
      <w:r w:rsidR="00907A12">
        <w:rPr>
          <w:rFonts w:asciiTheme="minorHAnsi" w:eastAsia="Calibri" w:hAnsiTheme="minorHAnsi" w:cs="Arial"/>
          <w:b/>
          <w:sz w:val="22"/>
          <w:szCs w:val="22"/>
          <w:lang w:eastAsia="en-CA"/>
        </w:rPr>
        <w:t>J</w:t>
      </w:r>
      <w:r w:rsidR="00907A12" w:rsidRPr="00722E9C">
        <w:rPr>
          <w:rFonts w:asciiTheme="minorHAnsi" w:eastAsia="Calibri" w:hAnsiTheme="minorHAnsi" w:cs="Arial"/>
          <w:b/>
          <w:sz w:val="22"/>
          <w:szCs w:val="22"/>
          <w:lang w:eastAsia="en-CA"/>
        </w:rPr>
        <w:t xml:space="preserve">oint </w:t>
      </w:r>
      <w:r w:rsidR="00907A12">
        <w:rPr>
          <w:rFonts w:asciiTheme="minorHAnsi" w:eastAsia="Calibri" w:hAnsiTheme="minorHAnsi" w:cs="Arial"/>
          <w:b/>
          <w:sz w:val="22"/>
          <w:szCs w:val="22"/>
          <w:lang w:eastAsia="en-CA"/>
        </w:rPr>
        <w:t>G</w:t>
      </w:r>
      <w:r w:rsidR="00907A12" w:rsidRPr="00722E9C">
        <w:rPr>
          <w:rFonts w:asciiTheme="minorHAnsi" w:eastAsia="Calibri" w:hAnsiTheme="minorHAnsi" w:cs="Arial"/>
          <w:b/>
          <w:sz w:val="22"/>
          <w:szCs w:val="22"/>
          <w:lang w:eastAsia="en-CA"/>
        </w:rPr>
        <w:t xml:space="preserve">ender </w:t>
      </w:r>
      <w:r w:rsidR="00907A12">
        <w:rPr>
          <w:rFonts w:asciiTheme="minorHAnsi" w:eastAsia="Calibri" w:hAnsiTheme="minorHAnsi" w:cs="Arial"/>
          <w:b/>
          <w:sz w:val="22"/>
          <w:szCs w:val="22"/>
          <w:lang w:eastAsia="en-CA"/>
        </w:rPr>
        <w:t>P</w:t>
      </w:r>
      <w:r w:rsidR="00907A12" w:rsidRPr="00722E9C">
        <w:rPr>
          <w:rFonts w:asciiTheme="minorHAnsi" w:eastAsia="Calibri" w:hAnsiTheme="minorHAnsi" w:cs="Arial"/>
          <w:b/>
          <w:sz w:val="22"/>
          <w:szCs w:val="22"/>
          <w:lang w:eastAsia="en-CA"/>
        </w:rPr>
        <w:t xml:space="preserve">rogramme </w:t>
      </w:r>
      <w:r w:rsidRPr="00722E9C">
        <w:rPr>
          <w:rFonts w:asciiTheme="minorHAnsi" w:eastAsia="Calibri" w:hAnsiTheme="minorHAnsi" w:cs="Arial"/>
          <w:b/>
          <w:sz w:val="22"/>
          <w:szCs w:val="22"/>
          <w:lang w:eastAsia="en-CA"/>
        </w:rPr>
        <w:t>partners</w:t>
      </w:r>
    </w:p>
    <w:p w14:paraId="6A3E897C" w14:textId="0AF27457" w:rsidR="00FF2449" w:rsidRPr="00722E9C" w:rsidRDefault="00FF2449" w:rsidP="00FF2449">
      <w:pPr>
        <w:pStyle w:val="ListParagraph"/>
        <w:numPr>
          <w:ilvl w:val="0"/>
          <w:numId w:val="3"/>
        </w:numPr>
        <w:spacing w:after="0"/>
        <w:ind w:left="590"/>
        <w:rPr>
          <w:sz w:val="22"/>
          <w:szCs w:val="22"/>
        </w:rPr>
      </w:pPr>
      <w:r w:rsidRPr="00722E9C">
        <w:rPr>
          <w:sz w:val="22"/>
          <w:szCs w:val="22"/>
        </w:rPr>
        <w:t>Keep lines of communication among JGP partners open through regular in-person</w:t>
      </w:r>
      <w:r w:rsidR="00101F34">
        <w:rPr>
          <w:sz w:val="22"/>
          <w:szCs w:val="22"/>
        </w:rPr>
        <w:t xml:space="preserve"> or (virtual)</w:t>
      </w:r>
      <w:r w:rsidRPr="00722E9C">
        <w:rPr>
          <w:sz w:val="22"/>
          <w:szCs w:val="22"/>
        </w:rPr>
        <w:t xml:space="preserve"> discussions</w:t>
      </w:r>
    </w:p>
    <w:p w14:paraId="7C2D4677" w14:textId="77777777" w:rsidR="00FF2449" w:rsidRPr="00722E9C" w:rsidRDefault="00FF2449" w:rsidP="00FF2449">
      <w:pPr>
        <w:pStyle w:val="ListParagraph"/>
        <w:numPr>
          <w:ilvl w:val="0"/>
          <w:numId w:val="3"/>
        </w:numPr>
        <w:ind w:left="590"/>
        <w:rPr>
          <w:sz w:val="22"/>
          <w:szCs w:val="22"/>
        </w:rPr>
      </w:pPr>
      <w:r w:rsidRPr="00722E9C">
        <w:rPr>
          <w:sz w:val="22"/>
          <w:szCs w:val="22"/>
        </w:rPr>
        <w:t>A communication strategy – with a gender analysis – can be put in place to share information on successes and constraints, with a range of communications tailored to different audiences</w:t>
      </w:r>
    </w:p>
    <w:p w14:paraId="6FF53D10" w14:textId="77777777" w:rsidR="00FF2449" w:rsidRPr="00722E9C" w:rsidRDefault="00FF2449" w:rsidP="00FF2449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2"/>
          <w:szCs w:val="22"/>
          <w:lang w:eastAsia="en-CA"/>
        </w:rPr>
      </w:pPr>
      <w:r w:rsidRPr="00722E9C">
        <w:rPr>
          <w:rFonts w:asciiTheme="minorHAnsi" w:eastAsia="Calibri" w:hAnsiTheme="minorHAnsi" w:cs="Arial"/>
          <w:b/>
          <w:sz w:val="22"/>
          <w:szCs w:val="22"/>
          <w:lang w:eastAsia="en-CA"/>
        </w:rPr>
        <w:t>3. Ensuring accountability for results</w:t>
      </w:r>
    </w:p>
    <w:p w14:paraId="2E347624" w14:textId="3FEF7978" w:rsidR="00FF2449" w:rsidRPr="00722E9C" w:rsidRDefault="00FF2449" w:rsidP="00FF2449">
      <w:pPr>
        <w:pStyle w:val="ListParagraph"/>
        <w:numPr>
          <w:ilvl w:val="0"/>
          <w:numId w:val="2"/>
        </w:numPr>
        <w:spacing w:after="0"/>
        <w:ind w:left="590"/>
        <w:rPr>
          <w:sz w:val="22"/>
          <w:szCs w:val="22"/>
        </w:rPr>
      </w:pPr>
      <w:r w:rsidRPr="00722E9C">
        <w:rPr>
          <w:sz w:val="22"/>
          <w:szCs w:val="22"/>
        </w:rPr>
        <w:t>Request that the R</w:t>
      </w:r>
      <w:r w:rsidR="00634744">
        <w:rPr>
          <w:sz w:val="22"/>
          <w:szCs w:val="22"/>
        </w:rPr>
        <w:t xml:space="preserve">esident </w:t>
      </w:r>
      <w:r w:rsidRPr="00722E9C">
        <w:rPr>
          <w:sz w:val="22"/>
          <w:szCs w:val="22"/>
        </w:rPr>
        <w:t>C</w:t>
      </w:r>
      <w:r w:rsidR="00634744">
        <w:rPr>
          <w:sz w:val="22"/>
          <w:szCs w:val="22"/>
        </w:rPr>
        <w:t>oordinator</w:t>
      </w:r>
      <w:r w:rsidRPr="00722E9C">
        <w:rPr>
          <w:sz w:val="22"/>
          <w:szCs w:val="22"/>
        </w:rPr>
        <w:t xml:space="preserve"> speak at high-level and public events related to the J</w:t>
      </w:r>
      <w:r w:rsidR="00907A12">
        <w:rPr>
          <w:sz w:val="22"/>
          <w:szCs w:val="22"/>
        </w:rPr>
        <w:t>G</w:t>
      </w:r>
      <w:r w:rsidRPr="00722E9C">
        <w:rPr>
          <w:sz w:val="22"/>
          <w:szCs w:val="22"/>
        </w:rPr>
        <w:t>P</w:t>
      </w:r>
    </w:p>
    <w:p w14:paraId="2DA50923" w14:textId="7013F89D" w:rsidR="00FF2449" w:rsidRPr="00722E9C" w:rsidRDefault="00FF2449" w:rsidP="00FF2449">
      <w:pPr>
        <w:pStyle w:val="ListParagraph"/>
        <w:numPr>
          <w:ilvl w:val="0"/>
          <w:numId w:val="2"/>
        </w:numPr>
        <w:spacing w:after="0"/>
        <w:ind w:left="590"/>
        <w:rPr>
          <w:sz w:val="22"/>
          <w:szCs w:val="22"/>
        </w:rPr>
      </w:pPr>
      <w:r w:rsidRPr="027BF381">
        <w:rPr>
          <w:sz w:val="22"/>
          <w:szCs w:val="22"/>
        </w:rPr>
        <w:t xml:space="preserve">Request regular </w:t>
      </w:r>
      <w:r w:rsidR="00167503">
        <w:rPr>
          <w:sz w:val="22"/>
          <w:szCs w:val="22"/>
        </w:rPr>
        <w:t xml:space="preserve">briefing </w:t>
      </w:r>
      <w:r w:rsidRPr="027BF381">
        <w:rPr>
          <w:sz w:val="22"/>
          <w:szCs w:val="22"/>
        </w:rPr>
        <w:t>meeting</w:t>
      </w:r>
      <w:r w:rsidR="00167503">
        <w:rPr>
          <w:sz w:val="22"/>
          <w:szCs w:val="22"/>
        </w:rPr>
        <w:t>s</w:t>
      </w:r>
      <w:r w:rsidRPr="027BF381">
        <w:rPr>
          <w:sz w:val="22"/>
          <w:szCs w:val="22"/>
        </w:rPr>
        <w:t xml:space="preserve"> with the R</w:t>
      </w:r>
      <w:r w:rsidR="00167503">
        <w:rPr>
          <w:sz w:val="22"/>
          <w:szCs w:val="22"/>
        </w:rPr>
        <w:t xml:space="preserve">esident </w:t>
      </w:r>
      <w:r w:rsidRPr="027BF381">
        <w:rPr>
          <w:sz w:val="22"/>
          <w:szCs w:val="22"/>
        </w:rPr>
        <w:t>C</w:t>
      </w:r>
      <w:r w:rsidR="00167503">
        <w:rPr>
          <w:sz w:val="22"/>
          <w:szCs w:val="22"/>
        </w:rPr>
        <w:t xml:space="preserve">oordinator </w:t>
      </w:r>
      <w:r w:rsidRPr="027BF381">
        <w:rPr>
          <w:sz w:val="22"/>
          <w:szCs w:val="22"/>
        </w:rPr>
        <w:t>on the J</w:t>
      </w:r>
      <w:r w:rsidR="00907A12">
        <w:rPr>
          <w:sz w:val="22"/>
          <w:szCs w:val="22"/>
        </w:rPr>
        <w:t>G</w:t>
      </w:r>
      <w:r w:rsidRPr="027BF381">
        <w:rPr>
          <w:sz w:val="22"/>
          <w:szCs w:val="22"/>
        </w:rPr>
        <w:t>P</w:t>
      </w:r>
    </w:p>
    <w:p w14:paraId="2F5C5730" w14:textId="77777777" w:rsidR="00FF2449" w:rsidRPr="00722E9C" w:rsidRDefault="00FF2449" w:rsidP="00FF2449">
      <w:pPr>
        <w:pStyle w:val="ListParagraph"/>
        <w:numPr>
          <w:ilvl w:val="0"/>
          <w:numId w:val="2"/>
        </w:numPr>
        <w:spacing w:after="0"/>
        <w:ind w:left="590"/>
        <w:rPr>
          <w:sz w:val="22"/>
          <w:szCs w:val="22"/>
        </w:rPr>
      </w:pPr>
      <w:r w:rsidRPr="00722E9C">
        <w:rPr>
          <w:sz w:val="22"/>
          <w:szCs w:val="22"/>
        </w:rPr>
        <w:t>Identify inter-agency platforms to bring messages across and influence senior managers</w:t>
      </w:r>
    </w:p>
    <w:p w14:paraId="04898D41" w14:textId="4605488A" w:rsidR="00FF2449" w:rsidRPr="00722E9C" w:rsidRDefault="42C079A1" w:rsidP="00FF2449">
      <w:pPr>
        <w:pStyle w:val="ListParagraph"/>
        <w:numPr>
          <w:ilvl w:val="0"/>
          <w:numId w:val="2"/>
        </w:numPr>
        <w:spacing w:after="0"/>
        <w:ind w:left="590"/>
        <w:rPr>
          <w:sz w:val="22"/>
          <w:szCs w:val="22"/>
        </w:rPr>
      </w:pPr>
      <w:r w:rsidRPr="306635B9">
        <w:rPr>
          <w:sz w:val="22"/>
          <w:szCs w:val="22"/>
        </w:rPr>
        <w:t>Consistently provide feedback to Heads of Agencies from Gender Theme Group members</w:t>
      </w:r>
      <w:r w:rsidR="003E7EC6">
        <w:rPr>
          <w:sz w:val="22"/>
          <w:szCs w:val="22"/>
        </w:rPr>
        <w:t>, and agree on key points for endorsement at UN</w:t>
      </w:r>
      <w:r w:rsidR="0098012D">
        <w:rPr>
          <w:sz w:val="22"/>
          <w:szCs w:val="22"/>
        </w:rPr>
        <w:t xml:space="preserve"> </w:t>
      </w:r>
      <w:r w:rsidR="003E7EC6">
        <w:rPr>
          <w:sz w:val="22"/>
          <w:szCs w:val="22"/>
        </w:rPr>
        <w:t>C</w:t>
      </w:r>
      <w:r w:rsidR="0098012D">
        <w:rPr>
          <w:sz w:val="22"/>
          <w:szCs w:val="22"/>
        </w:rPr>
        <w:t xml:space="preserve">ountry </w:t>
      </w:r>
      <w:r w:rsidR="003E7EC6">
        <w:rPr>
          <w:sz w:val="22"/>
          <w:szCs w:val="22"/>
        </w:rPr>
        <w:t>T</w:t>
      </w:r>
      <w:r w:rsidR="0098012D">
        <w:rPr>
          <w:sz w:val="22"/>
          <w:szCs w:val="22"/>
        </w:rPr>
        <w:t>eam</w:t>
      </w:r>
      <w:r w:rsidR="003E7EC6">
        <w:rPr>
          <w:sz w:val="22"/>
          <w:szCs w:val="22"/>
        </w:rPr>
        <w:t xml:space="preserve"> Heads of Agency meetings</w:t>
      </w:r>
    </w:p>
    <w:p w14:paraId="2BFCAEA9" w14:textId="4935A4B5" w:rsidR="00FF2449" w:rsidRPr="00722E9C" w:rsidRDefault="00FF2449" w:rsidP="00FF2449">
      <w:pPr>
        <w:pStyle w:val="ListParagraph"/>
        <w:numPr>
          <w:ilvl w:val="0"/>
          <w:numId w:val="2"/>
        </w:numPr>
        <w:spacing w:after="0"/>
        <w:ind w:left="590"/>
        <w:rPr>
          <w:sz w:val="22"/>
          <w:szCs w:val="22"/>
        </w:rPr>
      </w:pPr>
      <w:r w:rsidRPr="00722E9C">
        <w:rPr>
          <w:sz w:val="22"/>
          <w:szCs w:val="22"/>
        </w:rPr>
        <w:t>Negotiate so that the JGP coordinator can present JGP updates to the UN</w:t>
      </w:r>
      <w:r w:rsidR="0098012D">
        <w:rPr>
          <w:sz w:val="22"/>
          <w:szCs w:val="22"/>
        </w:rPr>
        <w:t xml:space="preserve"> </w:t>
      </w:r>
      <w:r w:rsidRPr="00722E9C">
        <w:rPr>
          <w:sz w:val="22"/>
          <w:szCs w:val="22"/>
        </w:rPr>
        <w:t>C</w:t>
      </w:r>
      <w:r w:rsidR="0098012D">
        <w:rPr>
          <w:sz w:val="22"/>
          <w:szCs w:val="22"/>
        </w:rPr>
        <w:t xml:space="preserve">ountry </w:t>
      </w:r>
      <w:r w:rsidRPr="00722E9C">
        <w:rPr>
          <w:sz w:val="22"/>
          <w:szCs w:val="22"/>
        </w:rPr>
        <w:t>T</w:t>
      </w:r>
      <w:r w:rsidR="0098012D">
        <w:rPr>
          <w:sz w:val="22"/>
          <w:szCs w:val="22"/>
        </w:rPr>
        <w:t>eam</w:t>
      </w:r>
      <w:r w:rsidRPr="00722E9C">
        <w:rPr>
          <w:sz w:val="22"/>
          <w:szCs w:val="22"/>
        </w:rPr>
        <w:t xml:space="preserve"> H</w:t>
      </w:r>
      <w:r w:rsidR="00126526">
        <w:rPr>
          <w:sz w:val="22"/>
          <w:szCs w:val="22"/>
        </w:rPr>
        <w:t xml:space="preserve">eads of </w:t>
      </w:r>
      <w:r w:rsidRPr="00722E9C">
        <w:rPr>
          <w:sz w:val="22"/>
          <w:szCs w:val="22"/>
        </w:rPr>
        <w:t>A</w:t>
      </w:r>
      <w:r w:rsidR="00126526">
        <w:rPr>
          <w:sz w:val="22"/>
          <w:szCs w:val="22"/>
        </w:rPr>
        <w:t>gency</w:t>
      </w:r>
      <w:r w:rsidRPr="00722E9C">
        <w:rPr>
          <w:sz w:val="22"/>
          <w:szCs w:val="22"/>
        </w:rPr>
        <w:t xml:space="preserve"> meeting</w:t>
      </w:r>
      <w:r w:rsidR="00126526">
        <w:rPr>
          <w:sz w:val="22"/>
          <w:szCs w:val="22"/>
        </w:rPr>
        <w:t>s</w:t>
      </w:r>
    </w:p>
    <w:p w14:paraId="17C55E24" w14:textId="77777777" w:rsidR="00FF2449" w:rsidRPr="00722E9C" w:rsidRDefault="00FF2449" w:rsidP="00FF2449">
      <w:pPr>
        <w:pStyle w:val="ListParagraph"/>
        <w:numPr>
          <w:ilvl w:val="0"/>
          <w:numId w:val="2"/>
        </w:numPr>
        <w:spacing w:after="0"/>
        <w:ind w:left="590"/>
        <w:rPr>
          <w:sz w:val="22"/>
          <w:szCs w:val="22"/>
        </w:rPr>
      </w:pPr>
      <w:r w:rsidRPr="00722E9C">
        <w:rPr>
          <w:sz w:val="22"/>
          <w:szCs w:val="22"/>
        </w:rPr>
        <w:t>Remind partners within and outside the UN that accountability is ultimately to rights holders, particularly women rights holders who can be excluded from development results</w:t>
      </w:r>
    </w:p>
    <w:p w14:paraId="09B94F44" w14:textId="60538CB1" w:rsidR="00FF2449" w:rsidRPr="00722E9C" w:rsidRDefault="00722E9C" w:rsidP="00FF2449">
      <w:pPr>
        <w:pStyle w:val="ListParagraph"/>
        <w:numPr>
          <w:ilvl w:val="0"/>
          <w:numId w:val="2"/>
        </w:numPr>
        <w:spacing w:after="0"/>
        <w:ind w:left="590"/>
        <w:rPr>
          <w:sz w:val="22"/>
          <w:szCs w:val="22"/>
        </w:rPr>
      </w:pPr>
      <w:r>
        <w:rPr>
          <w:sz w:val="22"/>
          <w:szCs w:val="22"/>
        </w:rPr>
        <w:t>Consider p</w:t>
      </w:r>
      <w:r w:rsidR="00FF2449" w:rsidRPr="00722E9C">
        <w:rPr>
          <w:sz w:val="22"/>
          <w:szCs w:val="22"/>
        </w:rPr>
        <w:t>ooled funding sources among UN agencies to support mutual accountability and coherence</w:t>
      </w:r>
    </w:p>
    <w:p w14:paraId="2522A26C" w14:textId="5EF9F224" w:rsidR="00FF2449" w:rsidRPr="00722E9C" w:rsidRDefault="00FF2449" w:rsidP="00FF2449">
      <w:pPr>
        <w:pStyle w:val="ListParagraph"/>
        <w:numPr>
          <w:ilvl w:val="0"/>
          <w:numId w:val="2"/>
        </w:numPr>
        <w:ind w:left="590"/>
        <w:rPr>
          <w:sz w:val="22"/>
          <w:szCs w:val="22"/>
        </w:rPr>
      </w:pPr>
      <w:r w:rsidRPr="027BF381">
        <w:rPr>
          <w:sz w:val="22"/>
          <w:szCs w:val="22"/>
        </w:rPr>
        <w:t>Strong M</w:t>
      </w:r>
      <w:r w:rsidR="001D1A0B">
        <w:rPr>
          <w:sz w:val="22"/>
          <w:szCs w:val="22"/>
        </w:rPr>
        <w:t xml:space="preserve">&amp; </w:t>
      </w:r>
      <w:r w:rsidR="0ECB61B8" w:rsidRPr="027BF381">
        <w:rPr>
          <w:sz w:val="22"/>
          <w:szCs w:val="22"/>
        </w:rPr>
        <w:t>R</w:t>
      </w:r>
      <w:r w:rsidR="001D1A0B">
        <w:rPr>
          <w:sz w:val="22"/>
          <w:szCs w:val="22"/>
        </w:rPr>
        <w:t xml:space="preserve"> and </w:t>
      </w:r>
      <w:r w:rsidRPr="027BF381">
        <w:rPr>
          <w:sz w:val="22"/>
          <w:szCs w:val="22"/>
        </w:rPr>
        <w:t>E is an effective accountability mechanism</w:t>
      </w:r>
      <w:r w:rsidR="00470AAF">
        <w:rPr>
          <w:sz w:val="22"/>
          <w:szCs w:val="22"/>
        </w:rPr>
        <w:t xml:space="preserve"> and consider</w:t>
      </w:r>
      <w:r w:rsidR="00470AAF">
        <w:t xml:space="preserve"> the UN system accountability frameworks for </w:t>
      </w:r>
      <w:r w:rsidR="0098012D">
        <w:t>GEWE</w:t>
      </w:r>
      <w:r w:rsidR="00470AAF">
        <w:t xml:space="preserve"> such as the UNCT </w:t>
      </w:r>
      <w:r w:rsidR="00470AAF" w:rsidRPr="00470AAF">
        <w:t>Gender Equality Scorecard</w:t>
      </w:r>
      <w:r w:rsidR="0098012D">
        <w:t>.</w:t>
      </w:r>
    </w:p>
    <w:p w14:paraId="5420D330" w14:textId="2A04A160" w:rsidR="00FF2449" w:rsidRDefault="00FF2449" w:rsidP="00FF2449"/>
    <w:sectPr w:rsidR="00FF2449" w:rsidSect="002E1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1B64" w14:textId="77777777" w:rsidR="00AD4325" w:rsidRDefault="00AD4325" w:rsidP="00722E9C">
      <w:r>
        <w:separator/>
      </w:r>
    </w:p>
  </w:endnote>
  <w:endnote w:type="continuationSeparator" w:id="0">
    <w:p w14:paraId="31C08D7F" w14:textId="77777777" w:rsidR="00AD4325" w:rsidRDefault="00AD4325" w:rsidP="0072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D34B" w14:textId="77777777" w:rsidR="00AD4325" w:rsidRDefault="00AD4325" w:rsidP="00722E9C">
      <w:r>
        <w:separator/>
      </w:r>
    </w:p>
  </w:footnote>
  <w:footnote w:type="continuationSeparator" w:id="0">
    <w:p w14:paraId="519A7989" w14:textId="77777777" w:rsidR="00AD4325" w:rsidRDefault="00AD4325" w:rsidP="00722E9C">
      <w:r>
        <w:continuationSeparator/>
      </w:r>
    </w:p>
  </w:footnote>
  <w:footnote w:id="1">
    <w:p w14:paraId="2204FE83" w14:textId="4C499A9D" w:rsidR="00722E9C" w:rsidRPr="00722E9C" w:rsidRDefault="00722E9C" w:rsidP="00722E9C">
      <w:pPr>
        <w:rPr>
          <w:rFonts w:asciiTheme="minorHAnsi" w:hAnsiTheme="minorHAnsi"/>
          <w:sz w:val="20"/>
          <w:szCs w:val="20"/>
        </w:rPr>
      </w:pPr>
      <w:r w:rsidRPr="00722E9C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722E9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Steps and success factors have been a</w:t>
      </w:r>
      <w:r w:rsidRPr="00722E9C">
        <w:rPr>
          <w:rFonts w:asciiTheme="minorHAnsi" w:hAnsiTheme="minorHAnsi"/>
          <w:sz w:val="20"/>
          <w:szCs w:val="20"/>
        </w:rPr>
        <w:t xml:space="preserve">dapted from </w:t>
      </w:r>
      <w:r w:rsidRPr="00722E9C">
        <w:rPr>
          <w:rFonts w:asciiTheme="minorHAnsi" w:eastAsia="Calibri" w:hAnsiTheme="minorHAnsi" w:cs="Arial"/>
          <w:iCs/>
          <w:sz w:val="20"/>
          <w:szCs w:val="20"/>
        </w:rPr>
        <w:t>UNDP (</w:t>
      </w:r>
      <w:r w:rsidR="00D103FE" w:rsidRPr="00722E9C">
        <w:rPr>
          <w:rFonts w:asciiTheme="minorHAnsi" w:eastAsia="Calibri" w:hAnsiTheme="minorHAnsi" w:cs="Arial"/>
          <w:iCs/>
          <w:sz w:val="20"/>
          <w:szCs w:val="20"/>
        </w:rPr>
        <w:t>201</w:t>
      </w:r>
      <w:r w:rsidR="00D103FE">
        <w:rPr>
          <w:rFonts w:asciiTheme="minorHAnsi" w:eastAsia="Calibri" w:hAnsiTheme="minorHAnsi" w:cs="Arial"/>
          <w:iCs/>
          <w:sz w:val="20"/>
          <w:szCs w:val="20"/>
        </w:rPr>
        <w:t>7</w:t>
      </w:r>
      <w:r w:rsidRPr="00722E9C">
        <w:rPr>
          <w:rFonts w:asciiTheme="minorHAnsi" w:eastAsia="Calibri" w:hAnsiTheme="minorHAnsi" w:cs="Arial"/>
          <w:iCs/>
          <w:sz w:val="20"/>
          <w:szCs w:val="20"/>
        </w:rPr>
        <w:t xml:space="preserve">) </w:t>
      </w:r>
      <w:hyperlink r:id="rId1" w:history="1">
        <w:r w:rsidR="00F60DEA" w:rsidRPr="00F60DEA">
          <w:rPr>
            <w:rStyle w:val="Hyperlink"/>
            <w:rFonts w:asciiTheme="minorHAnsi" w:eastAsia="Calibri" w:hAnsiTheme="minorHAnsi" w:cs="Arial"/>
            <w:i/>
            <w:iCs/>
            <w:sz w:val="20"/>
            <w:szCs w:val="20"/>
          </w:rPr>
          <w:t>Making Joint Gender Programmes Work.</w:t>
        </w:r>
      </w:hyperlink>
      <w:r w:rsidRPr="00722E9C">
        <w:rPr>
          <w:rFonts w:asciiTheme="minorHAnsi" w:eastAsia="Calibri" w:hAnsiTheme="minorHAnsi" w:cs="Arial"/>
          <w:iCs/>
          <w:sz w:val="20"/>
          <w:szCs w:val="20"/>
        </w:rPr>
        <w:t xml:space="preserve"> </w:t>
      </w:r>
    </w:p>
    <w:p w14:paraId="1AE4225C" w14:textId="34A4B84A" w:rsidR="00722E9C" w:rsidRPr="00722E9C" w:rsidRDefault="00722E9C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89B"/>
    <w:multiLevelType w:val="hybridMultilevel"/>
    <w:tmpl w:val="680E7EE2"/>
    <w:lvl w:ilvl="0" w:tplc="EB3265A8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334E8E"/>
    <w:multiLevelType w:val="hybridMultilevel"/>
    <w:tmpl w:val="AE30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33E1C"/>
    <w:multiLevelType w:val="hybridMultilevel"/>
    <w:tmpl w:val="D812E88C"/>
    <w:lvl w:ilvl="0" w:tplc="D1D0BD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DA9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4E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88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EC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63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09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4A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44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B7EDB"/>
    <w:multiLevelType w:val="hybridMultilevel"/>
    <w:tmpl w:val="F524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91DAD"/>
    <w:multiLevelType w:val="hybridMultilevel"/>
    <w:tmpl w:val="136C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0953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21C7C"/>
    <w:multiLevelType w:val="hybridMultilevel"/>
    <w:tmpl w:val="E03C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49"/>
    <w:rsid w:val="00013694"/>
    <w:rsid w:val="00047102"/>
    <w:rsid w:val="00061AB0"/>
    <w:rsid w:val="000A3775"/>
    <w:rsid w:val="000D5021"/>
    <w:rsid w:val="00101F34"/>
    <w:rsid w:val="00126526"/>
    <w:rsid w:val="00155F7F"/>
    <w:rsid w:val="00167503"/>
    <w:rsid w:val="001B30CB"/>
    <w:rsid w:val="001D1A0B"/>
    <w:rsid w:val="00210365"/>
    <w:rsid w:val="002E10ED"/>
    <w:rsid w:val="002E3D3E"/>
    <w:rsid w:val="0035099E"/>
    <w:rsid w:val="003624FF"/>
    <w:rsid w:val="00381C41"/>
    <w:rsid w:val="003E15B4"/>
    <w:rsid w:val="003E7EC6"/>
    <w:rsid w:val="003F73F5"/>
    <w:rsid w:val="0042151F"/>
    <w:rsid w:val="004615D8"/>
    <w:rsid w:val="00470AAF"/>
    <w:rsid w:val="004945AE"/>
    <w:rsid w:val="004A7057"/>
    <w:rsid w:val="004F0FAA"/>
    <w:rsid w:val="005172F8"/>
    <w:rsid w:val="00536559"/>
    <w:rsid w:val="00546EE0"/>
    <w:rsid w:val="00557BCE"/>
    <w:rsid w:val="005D02EC"/>
    <w:rsid w:val="00634744"/>
    <w:rsid w:val="006525F3"/>
    <w:rsid w:val="00722E9C"/>
    <w:rsid w:val="0079043C"/>
    <w:rsid w:val="0082539B"/>
    <w:rsid w:val="0087034B"/>
    <w:rsid w:val="008C0F32"/>
    <w:rsid w:val="008F2885"/>
    <w:rsid w:val="00907A12"/>
    <w:rsid w:val="009125EB"/>
    <w:rsid w:val="0091557E"/>
    <w:rsid w:val="00942385"/>
    <w:rsid w:val="0098012D"/>
    <w:rsid w:val="00A700F1"/>
    <w:rsid w:val="00AA7AF1"/>
    <w:rsid w:val="00AD4325"/>
    <w:rsid w:val="00B058A1"/>
    <w:rsid w:val="00B25662"/>
    <w:rsid w:val="00BD101B"/>
    <w:rsid w:val="00BD6D8D"/>
    <w:rsid w:val="00BD7C5A"/>
    <w:rsid w:val="00C37FC0"/>
    <w:rsid w:val="00C96532"/>
    <w:rsid w:val="00D04F1B"/>
    <w:rsid w:val="00D103FE"/>
    <w:rsid w:val="00DA22DC"/>
    <w:rsid w:val="00DB60BB"/>
    <w:rsid w:val="00DD2042"/>
    <w:rsid w:val="00E31E56"/>
    <w:rsid w:val="00E55A08"/>
    <w:rsid w:val="00E56A33"/>
    <w:rsid w:val="00EB01A5"/>
    <w:rsid w:val="00F324BE"/>
    <w:rsid w:val="00F36313"/>
    <w:rsid w:val="00F51AA1"/>
    <w:rsid w:val="00F60DEA"/>
    <w:rsid w:val="00F96EFD"/>
    <w:rsid w:val="00FF2449"/>
    <w:rsid w:val="01EE79CE"/>
    <w:rsid w:val="027BF381"/>
    <w:rsid w:val="04CACD80"/>
    <w:rsid w:val="06C1EAF1"/>
    <w:rsid w:val="06EC9B20"/>
    <w:rsid w:val="08E172C7"/>
    <w:rsid w:val="093581C8"/>
    <w:rsid w:val="0BD92413"/>
    <w:rsid w:val="0C92D86C"/>
    <w:rsid w:val="0E472F96"/>
    <w:rsid w:val="0ECB61B8"/>
    <w:rsid w:val="0F9AB06E"/>
    <w:rsid w:val="12B163A4"/>
    <w:rsid w:val="15A9D3A4"/>
    <w:rsid w:val="19DBF365"/>
    <w:rsid w:val="19EBB899"/>
    <w:rsid w:val="1ABF8E4E"/>
    <w:rsid w:val="1CC04D8F"/>
    <w:rsid w:val="2759C8C0"/>
    <w:rsid w:val="2792F92A"/>
    <w:rsid w:val="2A9F01A3"/>
    <w:rsid w:val="2DC33E03"/>
    <w:rsid w:val="2F02F617"/>
    <w:rsid w:val="306635B9"/>
    <w:rsid w:val="318AB32B"/>
    <w:rsid w:val="32FA44EB"/>
    <w:rsid w:val="3539A6DC"/>
    <w:rsid w:val="3798641A"/>
    <w:rsid w:val="3895BB20"/>
    <w:rsid w:val="39E6ED20"/>
    <w:rsid w:val="3D2B9064"/>
    <w:rsid w:val="3D9B24F1"/>
    <w:rsid w:val="3E0B5400"/>
    <w:rsid w:val="41A6B0C4"/>
    <w:rsid w:val="42C079A1"/>
    <w:rsid w:val="467D4ABF"/>
    <w:rsid w:val="478CD814"/>
    <w:rsid w:val="494B08B0"/>
    <w:rsid w:val="49BB1850"/>
    <w:rsid w:val="4B88B7ED"/>
    <w:rsid w:val="4D6CD4A3"/>
    <w:rsid w:val="4E2A1A30"/>
    <w:rsid w:val="4E497E87"/>
    <w:rsid w:val="51798147"/>
    <w:rsid w:val="52595314"/>
    <w:rsid w:val="526556B4"/>
    <w:rsid w:val="56845105"/>
    <w:rsid w:val="5B736E25"/>
    <w:rsid w:val="5C913980"/>
    <w:rsid w:val="5DB7D0C9"/>
    <w:rsid w:val="5E2381D0"/>
    <w:rsid w:val="5E32B1FD"/>
    <w:rsid w:val="5EE7454B"/>
    <w:rsid w:val="5F52C7D7"/>
    <w:rsid w:val="6200945A"/>
    <w:rsid w:val="67870F88"/>
    <w:rsid w:val="6951C587"/>
    <w:rsid w:val="6BB3223A"/>
    <w:rsid w:val="6BC636B1"/>
    <w:rsid w:val="6CB4B37D"/>
    <w:rsid w:val="6E7D4E8F"/>
    <w:rsid w:val="701995CE"/>
    <w:rsid w:val="704FD7CB"/>
    <w:rsid w:val="70D409ED"/>
    <w:rsid w:val="738A3F8A"/>
    <w:rsid w:val="738D4EC1"/>
    <w:rsid w:val="77A968FB"/>
    <w:rsid w:val="785905C3"/>
    <w:rsid w:val="7860BFE4"/>
    <w:rsid w:val="7AC84651"/>
    <w:rsid w:val="7B7F3849"/>
    <w:rsid w:val="7D1B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085B"/>
  <w15:chartTrackingRefBased/>
  <w15:docId w15:val="{163C6E20-FD24-7844-ACD4-4CCB24DD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49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Dot pt,F5 List Paragraph,List Paragraph Char Char Char,Indicator Text,Numbered Para 1,Bullet 1,Bullet Points,List Paragraph2,MAIN CONTENT,Normal numbered,List Paragraph1,Colorful List - Accent 11,Issue Action POC,3,No Spacing1"/>
    <w:basedOn w:val="Normal"/>
    <w:link w:val="ListParagraphChar"/>
    <w:uiPriority w:val="34"/>
    <w:qFormat/>
    <w:rsid w:val="00FF2449"/>
    <w:pPr>
      <w:numPr>
        <w:numId w:val="5"/>
      </w:numPr>
      <w:spacing w:after="120"/>
      <w:jc w:val="both"/>
    </w:pPr>
    <w:rPr>
      <w:rFonts w:asciiTheme="minorHAnsi" w:eastAsia="Calibri" w:hAnsiTheme="minorHAnsi" w:cs="Arial"/>
      <w:sz w:val="20"/>
      <w:szCs w:val="20"/>
      <w:lang w:val="en-CA"/>
    </w:rPr>
  </w:style>
  <w:style w:type="character" w:styleId="Hyperlink">
    <w:name w:val="Hyperlink"/>
    <w:uiPriority w:val="99"/>
    <w:unhideWhenUsed/>
    <w:rsid w:val="00FF2449"/>
    <w:rPr>
      <w:color w:val="0000FF"/>
      <w:u w:val="single"/>
    </w:rPr>
  </w:style>
  <w:style w:type="character" w:customStyle="1" w:styleId="ListParagraphChar">
    <w:name w:val="List Paragraph Char"/>
    <w:aliases w:val="References Char,Dot pt Char,F5 List Paragraph Char,List Paragraph Char Char Char Char,Indicator Text Char,Numbered Para 1 Char,Bullet 1 Char,Bullet Points Char,List Paragraph2 Char,MAIN CONTENT Char,Normal numbered Char,3 Char"/>
    <w:basedOn w:val="DefaultParagraphFont"/>
    <w:link w:val="ListParagraph"/>
    <w:uiPriority w:val="34"/>
    <w:locked/>
    <w:rsid w:val="00FF2449"/>
    <w:rPr>
      <w:rFonts w:eastAsia="Calibri" w:cs="Arial"/>
      <w:sz w:val="20"/>
      <w:szCs w:val="20"/>
      <w:lang w:val="en-CA" w:eastAsia="en-GB"/>
    </w:rPr>
  </w:style>
  <w:style w:type="table" w:styleId="TableGrid">
    <w:name w:val="Table Grid"/>
    <w:basedOn w:val="TableNormal"/>
    <w:uiPriority w:val="39"/>
    <w:rsid w:val="00FF2449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F2449"/>
    <w:rPr>
      <w:rFonts w:ascii="Calibri" w:eastAsia="Calibri" w:hAnsi="Calibri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449"/>
    <w:rPr>
      <w:rFonts w:ascii="Calibri" w:eastAsia="Calibri" w:hAnsi="Calibri" w:cs="Times New Roman"/>
      <w:lang w:val="en-CA" w:eastAsia="en-GB"/>
    </w:rPr>
  </w:style>
  <w:style w:type="character" w:styleId="CommentReference">
    <w:name w:val="annotation reference"/>
    <w:uiPriority w:val="99"/>
    <w:semiHidden/>
    <w:unhideWhenUsed/>
    <w:rsid w:val="00FF244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49"/>
    <w:rPr>
      <w:rFonts w:ascii="Times New Roman" w:hAnsi="Times New Roman" w:cs="Times New Roman"/>
      <w:sz w:val="18"/>
      <w:szCs w:val="18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E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E9C"/>
    <w:rPr>
      <w:rFonts w:ascii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22E9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471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5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dp.org/content/undp/en/home/librarypage/womens-empowerment/making-joint-gender-programmes-wo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2ED6EF13AD8468F9F6450BEA53A76" ma:contentTypeVersion="5" ma:contentTypeDescription="Create a new document." ma:contentTypeScope="" ma:versionID="e895a0e14ecdcbdc001207b88eb68029">
  <xsd:schema xmlns:xsd="http://www.w3.org/2001/XMLSchema" xmlns:xs="http://www.w3.org/2001/XMLSchema" xmlns:p="http://schemas.microsoft.com/office/2006/metadata/properties" xmlns:ns2="6e38f6cf-469e-4c31-af3f-aa47f9e038a0" targetNamespace="http://schemas.microsoft.com/office/2006/metadata/properties" ma:root="true" ma:fieldsID="8f438b23a1ab617a506ed5a86a302497" ns2:_="">
    <xsd:import namespace="6e38f6cf-469e-4c31-af3f-aa47f9e03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8f6cf-469e-4c31-af3f-aa47f9e03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D3230-04F3-45D7-A0CF-14069AC50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DECA2-0C57-409B-9E94-9C52549C2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8f6cf-469e-4c31-af3f-aa47f9e03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4CE40-4FDF-4129-9BD7-CE48BED7C9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1599</Words>
  <Characters>9120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Lee Esser</dc:creator>
  <cp:keywords/>
  <dc:description/>
  <cp:lastModifiedBy>Denise Laaveri</cp:lastModifiedBy>
  <cp:revision>2</cp:revision>
  <dcterms:created xsi:type="dcterms:W3CDTF">2021-09-30T03:36:00Z</dcterms:created>
  <dcterms:modified xsi:type="dcterms:W3CDTF">2021-09-30T03:36:00Z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0x0101002BE2ED6EF13AD8468F9F6450BEA53A76</vt:lpwstr>
  </property>
</Properties>
</file>