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8CE3" w14:textId="77777777" w:rsidR="008435DD" w:rsidRDefault="008435DD"/>
    <w:tbl>
      <w:tblPr>
        <w:tblStyle w:val="TableGrid"/>
        <w:tblW w:w="0" w:type="auto"/>
        <w:tblLook w:val="04A0" w:firstRow="1" w:lastRow="0" w:firstColumn="1" w:lastColumn="0" w:noHBand="0" w:noVBand="1"/>
      </w:tblPr>
      <w:tblGrid>
        <w:gridCol w:w="3116"/>
        <w:gridCol w:w="479"/>
        <w:gridCol w:w="2638"/>
        <w:gridCol w:w="3117"/>
      </w:tblGrid>
      <w:tr w:rsidR="008435DD" w:rsidRPr="00151947" w14:paraId="5F19098C" w14:textId="77777777" w:rsidTr="3ACCA2A3">
        <w:tc>
          <w:tcPr>
            <w:tcW w:w="9350" w:type="dxa"/>
            <w:gridSpan w:val="4"/>
            <w:shd w:val="clear" w:color="auto" w:fill="FF0000"/>
          </w:tcPr>
          <w:p w14:paraId="25739B49" w14:textId="77777777" w:rsidR="008435DD" w:rsidRPr="00151947" w:rsidRDefault="008435DD" w:rsidP="00151947">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8435DD" w14:paraId="0E38CE4A" w14:textId="77777777" w:rsidTr="3ACCA2A3">
        <w:tc>
          <w:tcPr>
            <w:tcW w:w="3595" w:type="dxa"/>
            <w:gridSpan w:val="2"/>
            <w:shd w:val="clear" w:color="auto" w:fill="FBE4D5" w:themeFill="accent2" w:themeFillTint="33"/>
          </w:tcPr>
          <w:p w14:paraId="5E902B61" w14:textId="77777777" w:rsidR="008435DD" w:rsidRPr="00151947" w:rsidRDefault="008435DD">
            <w:pPr>
              <w:rPr>
                <w:rFonts w:ascii="Forte" w:eastAsia="Brush Script MT" w:hAnsi="Forte" w:cs="Brush Script MT"/>
                <w:sz w:val="28"/>
                <w:szCs w:val="28"/>
              </w:rPr>
            </w:pPr>
            <w:r w:rsidRPr="00151947">
              <w:rPr>
                <w:rFonts w:ascii="Forte" w:eastAsia="Brush Script MT" w:hAnsi="Forte" w:cs="Brush Script MT"/>
                <w:sz w:val="28"/>
                <w:szCs w:val="28"/>
              </w:rPr>
              <w:t>What?</w:t>
            </w:r>
          </w:p>
          <w:p w14:paraId="5BDD1B2D" w14:textId="42F2714C" w:rsidR="008435DD" w:rsidRDefault="297FB1E0" w:rsidP="001C5C76">
            <w:pPr>
              <w:rPr>
                <w:sz w:val="22"/>
                <w:szCs w:val="22"/>
              </w:rPr>
            </w:pPr>
            <w:r w:rsidRPr="3ACCA2A3">
              <w:rPr>
                <w:i/>
                <w:iCs/>
                <w:sz w:val="22"/>
                <w:szCs w:val="22"/>
              </w:rPr>
              <w:t>Samples Gender Targeted, Mainstreamed and Blind Outcomes in UN</w:t>
            </w:r>
            <w:r w:rsidR="098E6DB2" w:rsidRPr="3ACCA2A3">
              <w:rPr>
                <w:i/>
                <w:iCs/>
                <w:sz w:val="22"/>
                <w:szCs w:val="22"/>
              </w:rPr>
              <w:t>DAFs/UN</w:t>
            </w:r>
            <w:r w:rsidRPr="3ACCA2A3">
              <w:rPr>
                <w:i/>
                <w:iCs/>
                <w:sz w:val="22"/>
                <w:szCs w:val="22"/>
              </w:rPr>
              <w:t xml:space="preserve">SDCFs </w:t>
            </w:r>
            <w:r w:rsidRPr="3ACCA2A3">
              <w:rPr>
                <w:sz w:val="22"/>
                <w:szCs w:val="22"/>
              </w:rPr>
              <w:t>(UNCT-SWAP Toolkit 2020).</w:t>
            </w:r>
          </w:p>
          <w:p w14:paraId="4C687F9D" w14:textId="77777777" w:rsidR="008435DD" w:rsidRDefault="008435DD">
            <w:pPr>
              <w:rPr>
                <w:sz w:val="22"/>
                <w:szCs w:val="22"/>
              </w:rPr>
            </w:pPr>
          </w:p>
          <w:p w14:paraId="5FF483F3" w14:textId="77777777" w:rsidR="008435DD" w:rsidRDefault="008435DD"/>
          <w:p w14:paraId="4276D9EB" w14:textId="77777777" w:rsidR="008435DD" w:rsidRDefault="008435DD"/>
        </w:tc>
        <w:tc>
          <w:tcPr>
            <w:tcW w:w="5755" w:type="dxa"/>
            <w:gridSpan w:val="2"/>
            <w:shd w:val="clear" w:color="auto" w:fill="F7CAAC" w:themeFill="accent2" w:themeFillTint="66"/>
          </w:tcPr>
          <w:p w14:paraId="4AA3EFF1" w14:textId="3FEBCFAA" w:rsidR="008435DD" w:rsidRPr="00C93904" w:rsidRDefault="297FB1E0" w:rsidP="00C93904">
            <w:pPr>
              <w:rPr>
                <w:rFonts w:ascii="Forte" w:eastAsia="Brush Script MT" w:hAnsi="Forte" w:cs="Brush Script MT"/>
                <w:sz w:val="28"/>
                <w:szCs w:val="28"/>
              </w:rPr>
            </w:pPr>
            <w:r w:rsidRPr="3ACCA2A3">
              <w:rPr>
                <w:rFonts w:ascii="Forte" w:eastAsia="Brush Script MT" w:hAnsi="Forte" w:cs="Brush Script MT"/>
                <w:sz w:val="28"/>
                <w:szCs w:val="28"/>
              </w:rPr>
              <w:t>Why?</w:t>
            </w:r>
            <w:r w:rsidR="008435DD">
              <w:br/>
            </w:r>
            <w:r w:rsidRPr="3ACCA2A3">
              <w:rPr>
                <w:rFonts w:eastAsia="Brush Script MT"/>
                <w:sz w:val="22"/>
                <w:szCs w:val="22"/>
              </w:rPr>
              <w:t xml:space="preserve">This short document provides simple definitions and examples of gender-targeted, gender-mainstreamed and gender-blind outcome statements drawn from selected </w:t>
            </w:r>
            <w:r w:rsidR="411056CB" w:rsidRPr="3ACCA2A3">
              <w:rPr>
                <w:rFonts w:eastAsia="Brush Script MT"/>
                <w:sz w:val="22"/>
                <w:szCs w:val="22"/>
              </w:rPr>
              <w:t xml:space="preserve">UNDAFs/UNSDCFs </w:t>
            </w:r>
            <w:r w:rsidRPr="3ACCA2A3">
              <w:rPr>
                <w:rFonts w:eastAsia="Brush Script MT"/>
                <w:sz w:val="22"/>
                <w:szCs w:val="22"/>
              </w:rPr>
              <w:t xml:space="preserve">around the world.  Samples are presented to help </w:t>
            </w:r>
            <w:r w:rsidR="70D3D871" w:rsidRPr="3ACCA2A3">
              <w:rPr>
                <w:rFonts w:eastAsia="Brush Script MT"/>
                <w:sz w:val="22"/>
                <w:szCs w:val="22"/>
              </w:rPr>
              <w:t xml:space="preserve">the </w:t>
            </w:r>
            <w:r w:rsidRPr="3ACCA2A3">
              <w:rPr>
                <w:rFonts w:eastAsia="Brush Script MT"/>
                <w:sz w:val="22"/>
                <w:szCs w:val="22"/>
              </w:rPr>
              <w:t>UN</w:t>
            </w:r>
            <w:r w:rsidR="6F80360C" w:rsidRPr="3ACCA2A3">
              <w:rPr>
                <w:rFonts w:eastAsia="Brush Script MT"/>
                <w:sz w:val="22"/>
                <w:szCs w:val="22"/>
              </w:rPr>
              <w:t>CT</w:t>
            </w:r>
            <w:r w:rsidRPr="3ACCA2A3">
              <w:rPr>
                <w:rFonts w:eastAsia="Brush Script MT"/>
                <w:sz w:val="22"/>
                <w:szCs w:val="22"/>
              </w:rPr>
              <w:t xml:space="preserve"> distinguish between the different levels of gender integration in Outcomes, and to be able to recognize and develop gender-targeted and gender-mainstreamed Outcomes in line with Performance Indicator 1.2 requirements.</w:t>
            </w:r>
            <w:r w:rsidR="00C93904">
              <w:rPr>
                <w:rFonts w:eastAsia="Brush Script MT"/>
                <w:sz w:val="22"/>
                <w:szCs w:val="22"/>
              </w:rPr>
              <w:br/>
            </w:r>
            <w:r w:rsidR="008435DD" w:rsidRPr="00FD6BE6">
              <w:rPr>
                <w:rFonts w:eastAsia="Brush Script MT" w:cstheme="minorHAnsi"/>
                <w:sz w:val="21"/>
                <w:szCs w:val="21"/>
              </w:rPr>
              <w:t xml:space="preserve"> </w:t>
            </w:r>
          </w:p>
        </w:tc>
      </w:tr>
      <w:tr w:rsidR="008435DD" w14:paraId="48C0CBB4" w14:textId="77777777" w:rsidTr="3ACCA2A3">
        <w:tc>
          <w:tcPr>
            <w:tcW w:w="9350" w:type="dxa"/>
            <w:gridSpan w:val="4"/>
            <w:shd w:val="clear" w:color="auto" w:fill="auto"/>
          </w:tcPr>
          <w:p w14:paraId="344EA947" w14:textId="77777777" w:rsidR="008435DD" w:rsidRPr="00151947" w:rsidRDefault="008435DD">
            <w:pPr>
              <w:rPr>
                <w:rFonts w:ascii="Forte" w:eastAsia="Brush Script MT" w:hAnsi="Forte" w:cs="Brush Script MT"/>
                <w:sz w:val="28"/>
                <w:szCs w:val="28"/>
              </w:rPr>
            </w:pPr>
          </w:p>
        </w:tc>
      </w:tr>
      <w:tr w:rsidR="008435DD" w:rsidRPr="00B23671" w14:paraId="4D4B8587" w14:textId="77777777" w:rsidTr="3ACCA2A3">
        <w:tc>
          <w:tcPr>
            <w:tcW w:w="9350" w:type="dxa"/>
            <w:gridSpan w:val="4"/>
            <w:shd w:val="clear" w:color="auto" w:fill="FF0000"/>
          </w:tcPr>
          <w:p w14:paraId="27539A19" w14:textId="77777777" w:rsidR="008435DD" w:rsidRPr="00B23671" w:rsidRDefault="008435DD" w:rsidP="00B23671">
            <w:pPr>
              <w:jc w:val="center"/>
              <w:rPr>
                <w:rFonts w:ascii="Calibri" w:eastAsia="Brush Script MT" w:hAnsi="Calibri" w:cs="Calibri"/>
                <w:b/>
                <w:bCs/>
                <w:color w:val="FFFFFF" w:themeColor="background1"/>
                <w:sz w:val="28"/>
                <w:szCs w:val="28"/>
              </w:rPr>
            </w:pPr>
            <w:r w:rsidRPr="50A0905A">
              <w:rPr>
                <w:rFonts w:ascii="Calibri" w:eastAsia="Brush Script MT" w:hAnsi="Calibri" w:cs="Calibri"/>
                <w:b/>
                <w:bCs/>
                <w:color w:val="FFFFFF" w:themeColor="background1"/>
                <w:sz w:val="28"/>
                <w:szCs w:val="28"/>
              </w:rPr>
              <w:t>Performance Indicator 1.2 Cooperation Framework Outcomes</w:t>
            </w:r>
          </w:p>
        </w:tc>
      </w:tr>
      <w:tr w:rsidR="008435DD" w:rsidRPr="00B23671" w14:paraId="61F6103A" w14:textId="77777777" w:rsidTr="3ACCA2A3">
        <w:tc>
          <w:tcPr>
            <w:tcW w:w="3116" w:type="dxa"/>
            <w:shd w:val="clear" w:color="auto" w:fill="F7CAAC" w:themeFill="accent2" w:themeFillTint="66"/>
          </w:tcPr>
          <w:p w14:paraId="654E5AB7" w14:textId="77777777" w:rsidR="008435DD" w:rsidRPr="0084629F" w:rsidRDefault="008435DD" w:rsidP="00B23671">
            <w:pPr>
              <w:jc w:val="center"/>
              <w:rPr>
                <w:rFonts w:ascii="Forte" w:eastAsia="Brush Script MT" w:hAnsi="Forte" w:cs="Brush Script MT"/>
                <w:b/>
                <w:bCs/>
                <w:sz w:val="28"/>
                <w:szCs w:val="28"/>
              </w:rPr>
            </w:pPr>
            <w:r w:rsidRPr="0084629F">
              <w:rPr>
                <w:b/>
                <w:bCs/>
                <w:sz w:val="22"/>
                <w:szCs w:val="22"/>
              </w:rPr>
              <w:t>Approaches Minimum Requirements</w:t>
            </w:r>
          </w:p>
        </w:tc>
        <w:tc>
          <w:tcPr>
            <w:tcW w:w="3117" w:type="dxa"/>
            <w:gridSpan w:val="2"/>
            <w:shd w:val="clear" w:color="auto" w:fill="F7CAAC" w:themeFill="accent2" w:themeFillTint="66"/>
          </w:tcPr>
          <w:p w14:paraId="09FB140C" w14:textId="77777777" w:rsidR="008435DD" w:rsidRPr="0084629F" w:rsidRDefault="008435DD" w:rsidP="00B23671">
            <w:pPr>
              <w:jc w:val="center"/>
              <w:rPr>
                <w:b/>
                <w:bCs/>
                <w:sz w:val="22"/>
                <w:szCs w:val="22"/>
              </w:rPr>
            </w:pPr>
            <w:r w:rsidRPr="0084629F">
              <w:rPr>
                <w:b/>
                <w:bCs/>
                <w:sz w:val="22"/>
                <w:szCs w:val="22"/>
              </w:rPr>
              <w:t>Meets Minimum</w:t>
            </w:r>
          </w:p>
          <w:p w14:paraId="003CC39D" w14:textId="77777777" w:rsidR="008435DD" w:rsidRPr="0084629F" w:rsidRDefault="008435DD" w:rsidP="00B23671">
            <w:pPr>
              <w:jc w:val="center"/>
              <w:rPr>
                <w:rFonts w:ascii="Forte" w:eastAsia="Brush Script MT" w:hAnsi="Forte" w:cs="Brush Script MT"/>
                <w:b/>
                <w:bCs/>
                <w:sz w:val="28"/>
                <w:szCs w:val="28"/>
              </w:rPr>
            </w:pPr>
            <w:r w:rsidRPr="0084629F">
              <w:rPr>
                <w:b/>
                <w:bCs/>
                <w:sz w:val="22"/>
                <w:szCs w:val="22"/>
              </w:rPr>
              <w:t>Requirements</w:t>
            </w:r>
          </w:p>
        </w:tc>
        <w:tc>
          <w:tcPr>
            <w:tcW w:w="3117" w:type="dxa"/>
            <w:shd w:val="clear" w:color="auto" w:fill="F7CAAC" w:themeFill="accent2" w:themeFillTint="66"/>
          </w:tcPr>
          <w:p w14:paraId="36291ACE" w14:textId="77777777" w:rsidR="008435DD" w:rsidRPr="0084629F" w:rsidRDefault="008435DD" w:rsidP="00B23671">
            <w:pPr>
              <w:jc w:val="center"/>
              <w:rPr>
                <w:rFonts w:ascii="Forte" w:eastAsia="Brush Script MT" w:hAnsi="Forte" w:cs="Brush Script MT"/>
                <w:b/>
                <w:bCs/>
                <w:sz w:val="28"/>
                <w:szCs w:val="28"/>
              </w:rPr>
            </w:pPr>
            <w:r w:rsidRPr="0084629F">
              <w:rPr>
                <w:b/>
                <w:bCs/>
                <w:sz w:val="22"/>
                <w:szCs w:val="22"/>
              </w:rPr>
              <w:t>Exceeds Minimum Requirements</w:t>
            </w:r>
          </w:p>
        </w:tc>
      </w:tr>
      <w:tr w:rsidR="008435DD" w:rsidRPr="008F1E8F" w14:paraId="3EE49E6D" w14:textId="77777777" w:rsidTr="3ACCA2A3">
        <w:tc>
          <w:tcPr>
            <w:tcW w:w="3116" w:type="dxa"/>
            <w:shd w:val="clear" w:color="auto" w:fill="FBE4D5" w:themeFill="accent2" w:themeFillTint="33"/>
          </w:tcPr>
          <w:p w14:paraId="37D95C8F" w14:textId="36593773" w:rsidR="008435DD" w:rsidRPr="00C93904" w:rsidRDefault="008435DD" w:rsidP="007544D9">
            <w:pPr>
              <w:rPr>
                <w:rFonts w:cstheme="minorHAnsi"/>
                <w:color w:val="000000" w:themeColor="text1"/>
                <w:sz w:val="22"/>
                <w:szCs w:val="22"/>
              </w:rPr>
            </w:pPr>
            <w:r w:rsidRPr="00C93904">
              <w:rPr>
                <w:rFonts w:eastAsia="Times New Roman" w:cstheme="minorHAnsi"/>
                <w:b/>
                <w:bCs/>
                <w:sz w:val="22"/>
                <w:szCs w:val="22"/>
              </w:rPr>
              <w:t>a)</w:t>
            </w:r>
            <w:r w:rsidRPr="00C93904">
              <w:rPr>
                <w:rFonts w:eastAsia="Times New Roman" w:cstheme="minorHAnsi"/>
                <w:sz w:val="22"/>
                <w:szCs w:val="22"/>
              </w:rPr>
              <w:t xml:space="preserve"> Gender equality and the empowerment of women are visibly mainstreamed across </w:t>
            </w:r>
            <w:r w:rsidRPr="00C93904">
              <w:rPr>
                <w:rFonts w:eastAsia="Times New Roman" w:cstheme="minorHAnsi"/>
                <w:b/>
                <w:bCs/>
                <w:sz w:val="22"/>
                <w:szCs w:val="22"/>
              </w:rPr>
              <w:t>some</w:t>
            </w:r>
            <w:r w:rsidRPr="00C93904">
              <w:rPr>
                <w:rFonts w:eastAsia="Times New Roman" w:cstheme="minorHAnsi"/>
                <w:sz w:val="22"/>
                <w:szCs w:val="22"/>
              </w:rPr>
              <w:t xml:space="preserve"> outcome areas in line with SDG priorities, including SDG 5.</w:t>
            </w:r>
          </w:p>
        </w:tc>
        <w:tc>
          <w:tcPr>
            <w:tcW w:w="3117" w:type="dxa"/>
            <w:gridSpan w:val="2"/>
            <w:shd w:val="clear" w:color="auto" w:fill="FBE4D5" w:themeFill="accent2" w:themeFillTint="33"/>
          </w:tcPr>
          <w:p w14:paraId="28C0AB79" w14:textId="054E19D4" w:rsidR="008435DD" w:rsidRPr="00C93904" w:rsidRDefault="008435DD" w:rsidP="007544D9">
            <w:pPr>
              <w:rPr>
                <w:rFonts w:eastAsia="Times New Roman" w:cstheme="minorHAnsi"/>
                <w:sz w:val="22"/>
                <w:szCs w:val="22"/>
              </w:rPr>
            </w:pPr>
            <w:r w:rsidRPr="00C93904">
              <w:rPr>
                <w:rFonts w:eastAsia="Times New Roman" w:cstheme="minorHAnsi"/>
                <w:b/>
                <w:bCs/>
                <w:sz w:val="22"/>
                <w:szCs w:val="22"/>
              </w:rPr>
              <w:t>a)</w:t>
            </w:r>
            <w:r w:rsidRPr="00C93904">
              <w:rPr>
                <w:rFonts w:eastAsia="Times New Roman" w:cstheme="minorHAnsi"/>
                <w:sz w:val="22"/>
                <w:szCs w:val="22"/>
              </w:rPr>
              <w:t xml:space="preserve"> Gender equality and the empowerment of women are visibly mainstreamed across </w:t>
            </w:r>
            <w:r w:rsidR="00D8640E" w:rsidRPr="00D8640E">
              <w:rPr>
                <w:rFonts w:eastAsia="Times New Roman" w:cstheme="minorHAnsi"/>
                <w:b/>
                <w:bCs/>
                <w:sz w:val="22"/>
                <w:szCs w:val="22"/>
              </w:rPr>
              <w:t>all</w:t>
            </w:r>
            <w:r w:rsidRPr="00C93904">
              <w:rPr>
                <w:rFonts w:eastAsia="Times New Roman" w:cstheme="minorHAnsi"/>
                <w:sz w:val="22"/>
                <w:szCs w:val="22"/>
              </w:rPr>
              <w:t xml:space="preserve"> outcome areas in line with SDG priorities, including SDG </w:t>
            </w:r>
            <w:proofErr w:type="gramStart"/>
            <w:r w:rsidRPr="00C93904">
              <w:rPr>
                <w:rFonts w:eastAsia="Times New Roman" w:cstheme="minorHAnsi"/>
                <w:sz w:val="22"/>
                <w:szCs w:val="22"/>
              </w:rPr>
              <w:t>5;</w:t>
            </w:r>
            <w:proofErr w:type="gramEnd"/>
          </w:p>
          <w:p w14:paraId="027F0C6A" w14:textId="77777777" w:rsidR="008435DD" w:rsidRPr="00C93904" w:rsidRDefault="008435DD" w:rsidP="007544D9">
            <w:pPr>
              <w:rPr>
                <w:rFonts w:eastAsia="Times New Roman" w:cstheme="minorHAnsi"/>
                <w:sz w:val="22"/>
                <w:szCs w:val="22"/>
              </w:rPr>
            </w:pPr>
          </w:p>
          <w:p w14:paraId="5F0BEE9C" w14:textId="77777777" w:rsidR="008435DD" w:rsidRPr="00C93904" w:rsidRDefault="008435DD" w:rsidP="007544D9">
            <w:pPr>
              <w:rPr>
                <w:rFonts w:eastAsia="Times New Roman" w:cstheme="minorHAnsi"/>
                <w:b/>
                <w:bCs/>
                <w:sz w:val="22"/>
                <w:szCs w:val="22"/>
              </w:rPr>
            </w:pPr>
            <w:r w:rsidRPr="00C93904">
              <w:rPr>
                <w:rFonts w:eastAsia="Times New Roman" w:cstheme="minorHAnsi"/>
                <w:b/>
                <w:bCs/>
                <w:sz w:val="22"/>
                <w:szCs w:val="22"/>
              </w:rPr>
              <w:t>or</w:t>
            </w:r>
          </w:p>
          <w:p w14:paraId="67CDC80A" w14:textId="77777777" w:rsidR="008435DD" w:rsidRPr="00C93904" w:rsidRDefault="008435DD" w:rsidP="007544D9">
            <w:pPr>
              <w:rPr>
                <w:rFonts w:eastAsia="Times New Roman" w:cstheme="minorHAnsi"/>
                <w:b/>
                <w:bCs/>
                <w:sz w:val="22"/>
                <w:szCs w:val="22"/>
              </w:rPr>
            </w:pPr>
          </w:p>
          <w:p w14:paraId="5C8011A8" w14:textId="77777777" w:rsidR="008435DD" w:rsidRPr="00C93904" w:rsidRDefault="008435DD" w:rsidP="007544D9">
            <w:pPr>
              <w:rPr>
                <w:rFonts w:eastAsia="Brush Script MT" w:cstheme="minorHAnsi"/>
                <w:color w:val="000000" w:themeColor="text1"/>
                <w:sz w:val="22"/>
                <w:szCs w:val="22"/>
              </w:rPr>
            </w:pPr>
            <w:r w:rsidRPr="00C93904">
              <w:rPr>
                <w:rFonts w:eastAsia="Times New Roman" w:cstheme="minorHAnsi"/>
                <w:b/>
                <w:bCs/>
                <w:sz w:val="22"/>
                <w:szCs w:val="22"/>
              </w:rPr>
              <w:t>b)</w:t>
            </w:r>
            <w:r w:rsidRPr="00C93904">
              <w:rPr>
                <w:rFonts w:eastAsia="Times New Roman" w:cstheme="minorHAnsi"/>
                <w:sz w:val="22"/>
                <w:szCs w:val="22"/>
              </w:rPr>
              <w:t xml:space="preserve"> One Cooperation Framework outcome specifically targets gender equality in line with the Cooperation Framework Theory of Change and SDG priorities, including SDG 5.</w:t>
            </w:r>
          </w:p>
        </w:tc>
        <w:tc>
          <w:tcPr>
            <w:tcW w:w="3117" w:type="dxa"/>
            <w:shd w:val="clear" w:color="auto" w:fill="FBE4D5" w:themeFill="accent2" w:themeFillTint="33"/>
          </w:tcPr>
          <w:p w14:paraId="383234B2" w14:textId="4D7E16F4" w:rsidR="008435DD" w:rsidRPr="00C93904" w:rsidRDefault="008435DD" w:rsidP="007544D9">
            <w:pPr>
              <w:rPr>
                <w:rFonts w:eastAsia="Times New Roman" w:cstheme="minorHAnsi"/>
                <w:sz w:val="22"/>
                <w:szCs w:val="22"/>
              </w:rPr>
            </w:pPr>
            <w:r w:rsidRPr="00C93904">
              <w:rPr>
                <w:rFonts w:eastAsia="Times New Roman" w:cstheme="minorHAnsi"/>
                <w:b/>
                <w:bCs/>
                <w:sz w:val="22"/>
                <w:szCs w:val="22"/>
              </w:rPr>
              <w:t>a)</w:t>
            </w:r>
            <w:r w:rsidRPr="00C93904">
              <w:rPr>
                <w:rFonts w:eastAsia="Times New Roman" w:cstheme="minorHAnsi"/>
                <w:sz w:val="22"/>
                <w:szCs w:val="22"/>
              </w:rPr>
              <w:t xml:space="preserve"> Gender equality and the empowerment of women is visibly mainstreamed across </w:t>
            </w:r>
            <w:r w:rsidR="00D8640E" w:rsidRPr="00D8640E">
              <w:rPr>
                <w:rFonts w:eastAsia="Times New Roman" w:cstheme="minorHAnsi"/>
                <w:b/>
                <w:bCs/>
                <w:sz w:val="22"/>
                <w:szCs w:val="22"/>
              </w:rPr>
              <w:t>all</w:t>
            </w:r>
            <w:r w:rsidRPr="00C93904">
              <w:rPr>
                <w:rFonts w:eastAsia="Times New Roman" w:cstheme="minorHAnsi"/>
                <w:sz w:val="22"/>
                <w:szCs w:val="22"/>
              </w:rPr>
              <w:t xml:space="preserve"> outcome areas in line with SDG priorities, including SDG </w:t>
            </w:r>
            <w:proofErr w:type="gramStart"/>
            <w:r w:rsidRPr="00C93904">
              <w:rPr>
                <w:rFonts w:eastAsia="Times New Roman" w:cstheme="minorHAnsi"/>
                <w:sz w:val="22"/>
                <w:szCs w:val="22"/>
              </w:rPr>
              <w:t>5;</w:t>
            </w:r>
            <w:proofErr w:type="gramEnd"/>
          </w:p>
          <w:p w14:paraId="791C6242" w14:textId="77777777" w:rsidR="008435DD" w:rsidRPr="00C93904" w:rsidRDefault="008435DD" w:rsidP="007544D9">
            <w:pPr>
              <w:rPr>
                <w:rFonts w:eastAsia="Times New Roman" w:cstheme="minorHAnsi"/>
                <w:sz w:val="22"/>
                <w:szCs w:val="22"/>
              </w:rPr>
            </w:pPr>
          </w:p>
          <w:p w14:paraId="50F276C3" w14:textId="77777777" w:rsidR="008435DD" w:rsidRPr="00C93904" w:rsidRDefault="008435DD" w:rsidP="007544D9">
            <w:pPr>
              <w:rPr>
                <w:rFonts w:eastAsia="Times New Roman" w:cstheme="minorHAnsi"/>
                <w:b/>
                <w:bCs/>
                <w:sz w:val="22"/>
                <w:szCs w:val="22"/>
              </w:rPr>
            </w:pPr>
            <w:r w:rsidRPr="00C93904">
              <w:rPr>
                <w:rFonts w:eastAsia="Times New Roman" w:cstheme="minorHAnsi"/>
                <w:b/>
                <w:bCs/>
                <w:sz w:val="22"/>
                <w:szCs w:val="22"/>
              </w:rPr>
              <w:t>and</w:t>
            </w:r>
          </w:p>
          <w:p w14:paraId="00C2E931" w14:textId="77777777" w:rsidR="008435DD" w:rsidRPr="00C93904" w:rsidRDefault="008435DD" w:rsidP="007544D9">
            <w:pPr>
              <w:rPr>
                <w:rFonts w:eastAsia="Times New Roman" w:cstheme="minorHAnsi"/>
                <w:b/>
                <w:bCs/>
                <w:sz w:val="22"/>
                <w:szCs w:val="22"/>
              </w:rPr>
            </w:pPr>
          </w:p>
          <w:p w14:paraId="5078A1D1" w14:textId="77777777" w:rsidR="008435DD" w:rsidRPr="00C93904" w:rsidRDefault="008435DD" w:rsidP="007544D9">
            <w:pPr>
              <w:rPr>
                <w:rFonts w:eastAsia="Brush Script MT" w:cstheme="minorHAnsi"/>
                <w:color w:val="000000" w:themeColor="text1"/>
                <w:sz w:val="22"/>
                <w:szCs w:val="22"/>
              </w:rPr>
            </w:pPr>
            <w:r w:rsidRPr="00C93904">
              <w:rPr>
                <w:rFonts w:eastAsia="Times New Roman" w:cstheme="minorHAnsi"/>
                <w:b/>
                <w:bCs/>
                <w:sz w:val="22"/>
                <w:szCs w:val="22"/>
              </w:rPr>
              <w:t>b)</w:t>
            </w:r>
            <w:r w:rsidRPr="00C93904">
              <w:rPr>
                <w:rFonts w:eastAsia="Times New Roman" w:cstheme="minorHAnsi"/>
                <w:sz w:val="22"/>
                <w:szCs w:val="22"/>
              </w:rPr>
              <w:t xml:space="preserve"> One Cooperation Framework outcome specifically targets gender equality in line with the Cooperation Framework Theory of Change and SDG priorities, including SDG 5.</w:t>
            </w:r>
          </w:p>
        </w:tc>
      </w:tr>
    </w:tbl>
    <w:p w14:paraId="639E962F" w14:textId="77777777" w:rsidR="008435DD" w:rsidRDefault="008435DD"/>
    <w:p w14:paraId="55F47A11" w14:textId="77777777" w:rsidR="008435DD" w:rsidRDefault="008435DD"/>
    <w:p w14:paraId="1EFBB4B8" w14:textId="6D94CF95" w:rsidR="008435DD" w:rsidRDefault="008435DD" w:rsidP="00191295">
      <w:pPr>
        <w:rPr>
          <w:sz w:val="22"/>
          <w:szCs w:val="22"/>
        </w:rPr>
      </w:pPr>
    </w:p>
    <w:p w14:paraId="00EC7DF8" w14:textId="0BA949DF" w:rsidR="005B1283" w:rsidRDefault="005B1283" w:rsidP="00191295">
      <w:pPr>
        <w:rPr>
          <w:sz w:val="22"/>
          <w:szCs w:val="22"/>
        </w:rPr>
      </w:pPr>
    </w:p>
    <w:p w14:paraId="78839B05" w14:textId="6BDEFE32" w:rsidR="005B1283" w:rsidRDefault="005B1283" w:rsidP="00191295">
      <w:pPr>
        <w:rPr>
          <w:sz w:val="22"/>
          <w:szCs w:val="22"/>
        </w:rPr>
      </w:pPr>
    </w:p>
    <w:p w14:paraId="64CAB1A2" w14:textId="4F0D7C3A" w:rsidR="005B1283" w:rsidRDefault="005B1283" w:rsidP="00191295">
      <w:pPr>
        <w:rPr>
          <w:sz w:val="22"/>
          <w:szCs w:val="22"/>
        </w:rPr>
      </w:pPr>
    </w:p>
    <w:p w14:paraId="536397E2" w14:textId="2EC698A3" w:rsidR="005B1283" w:rsidRDefault="005B1283" w:rsidP="00191295">
      <w:pPr>
        <w:rPr>
          <w:sz w:val="22"/>
          <w:szCs w:val="22"/>
        </w:rPr>
      </w:pPr>
    </w:p>
    <w:p w14:paraId="13DA6F66" w14:textId="3DF048CA" w:rsidR="005B1283" w:rsidRDefault="005B1283" w:rsidP="00191295">
      <w:pPr>
        <w:rPr>
          <w:sz w:val="22"/>
          <w:szCs w:val="22"/>
        </w:rPr>
      </w:pPr>
    </w:p>
    <w:p w14:paraId="462531B8" w14:textId="1BF12C7F" w:rsidR="005B1283" w:rsidRDefault="005B1283" w:rsidP="00191295">
      <w:pPr>
        <w:rPr>
          <w:sz w:val="22"/>
          <w:szCs w:val="22"/>
        </w:rPr>
      </w:pPr>
    </w:p>
    <w:p w14:paraId="0E44D703" w14:textId="01F93D86" w:rsidR="005B1283" w:rsidRDefault="005B1283" w:rsidP="00191295">
      <w:pPr>
        <w:rPr>
          <w:sz w:val="22"/>
          <w:szCs w:val="22"/>
        </w:rPr>
      </w:pPr>
    </w:p>
    <w:p w14:paraId="51B9F055" w14:textId="6545BEA0" w:rsidR="005B1283" w:rsidRDefault="005B1283" w:rsidP="00191295">
      <w:pPr>
        <w:rPr>
          <w:sz w:val="22"/>
          <w:szCs w:val="22"/>
        </w:rPr>
      </w:pPr>
    </w:p>
    <w:p w14:paraId="3FAEF77C" w14:textId="77777777" w:rsidR="005B1283" w:rsidRPr="003E52D6" w:rsidRDefault="005B1283" w:rsidP="00191295">
      <w:pPr>
        <w:rPr>
          <w:sz w:val="22"/>
          <w:szCs w:val="22"/>
        </w:rPr>
      </w:pPr>
    </w:p>
    <w:p w14:paraId="0C54AF1E" w14:textId="60C271E3" w:rsidR="008435DD" w:rsidRDefault="008435DD" w:rsidP="00C93904"/>
    <w:p w14:paraId="1E980708" w14:textId="77777777" w:rsidR="00C93904" w:rsidRDefault="00C93904" w:rsidP="00C93904">
      <w:pPr>
        <w:rPr>
          <w:b/>
          <w:bCs/>
        </w:rPr>
      </w:pPr>
    </w:p>
    <w:p w14:paraId="420CA087" w14:textId="52CCD028" w:rsidR="00F96EFD" w:rsidRPr="00697AC2" w:rsidRDefault="00697AC2" w:rsidP="00697AC2">
      <w:pPr>
        <w:jc w:val="center"/>
        <w:rPr>
          <w:b/>
          <w:bCs/>
        </w:rPr>
      </w:pPr>
      <w:r w:rsidRPr="3ACCA2A3">
        <w:rPr>
          <w:b/>
          <w:bCs/>
        </w:rPr>
        <w:lastRenderedPageBreak/>
        <w:t xml:space="preserve">Samples </w:t>
      </w:r>
      <w:r w:rsidR="6BC7FC37" w:rsidRPr="3ACCA2A3">
        <w:rPr>
          <w:b/>
          <w:bCs/>
        </w:rPr>
        <w:t xml:space="preserve">of </w:t>
      </w:r>
      <w:r w:rsidRPr="3ACCA2A3">
        <w:rPr>
          <w:b/>
          <w:bCs/>
        </w:rPr>
        <w:t xml:space="preserve">Gender Targeted, Mainstreamed and Blind Outcomes in </w:t>
      </w:r>
      <w:r w:rsidR="0D0FB286" w:rsidRPr="3ACCA2A3">
        <w:rPr>
          <w:b/>
          <w:bCs/>
        </w:rPr>
        <w:t>UNDAFs/</w:t>
      </w:r>
      <w:r w:rsidRPr="3ACCA2A3">
        <w:rPr>
          <w:b/>
          <w:bCs/>
        </w:rPr>
        <w:t>UNSDCFs</w:t>
      </w:r>
    </w:p>
    <w:p w14:paraId="0420EF1D" w14:textId="14C559E8" w:rsidR="7542F0BE" w:rsidRDefault="7542F0BE" w:rsidP="4D521F23">
      <w:pPr>
        <w:jc w:val="center"/>
        <w:rPr>
          <w:b/>
          <w:bCs/>
        </w:rPr>
      </w:pPr>
      <w:r w:rsidRPr="3ACCA2A3">
        <w:rPr>
          <w:b/>
          <w:bCs/>
          <w:i/>
          <w:iCs/>
        </w:rPr>
        <w:t>Developed for UNCT-SWAP Toolkit (Dec</w:t>
      </w:r>
      <w:r w:rsidR="71EB7C5B" w:rsidRPr="3ACCA2A3">
        <w:rPr>
          <w:b/>
          <w:bCs/>
          <w:i/>
          <w:iCs/>
        </w:rPr>
        <w:t>ember</w:t>
      </w:r>
      <w:r w:rsidRPr="3ACCA2A3">
        <w:rPr>
          <w:b/>
          <w:bCs/>
          <w:i/>
          <w:iCs/>
        </w:rPr>
        <w:t xml:space="preserve"> 2020)</w:t>
      </w:r>
    </w:p>
    <w:p w14:paraId="523640E5" w14:textId="066480FD" w:rsidR="00697AC2" w:rsidRDefault="00697AC2"/>
    <w:p w14:paraId="58B51DAF" w14:textId="3BDB0CE6" w:rsidR="00697AC2" w:rsidRDefault="00697AC2">
      <w:r>
        <w:t xml:space="preserve">The UNCT-SWAP Scorecard </w:t>
      </w:r>
      <w:r w:rsidR="18B8293F">
        <w:t xml:space="preserve">comprehensive assessment </w:t>
      </w:r>
      <w:r>
        <w:t xml:space="preserve">requires </w:t>
      </w:r>
      <w:r w:rsidR="7310AF0D">
        <w:t>the UNDAF/UN</w:t>
      </w:r>
      <w:r w:rsidR="64F8686C">
        <w:t>SDCF</w:t>
      </w:r>
      <w:r>
        <w:t xml:space="preserve"> </w:t>
      </w:r>
      <w:r w:rsidR="53A58954">
        <w:t>O</w:t>
      </w:r>
      <w:r>
        <w:t>utcomes (and outputs) to visibly mainstream gender across all outcomes or to include at least one gender-targeted outcome</w:t>
      </w:r>
      <w:r w:rsidR="32A89A7F">
        <w:t>,</w:t>
      </w:r>
      <w:r>
        <w:t xml:space="preserve"> to meet minimum standards. UNCTs are encouraged to exceed standards by meeting both criteria</w:t>
      </w:r>
      <w:r w:rsidR="00ED014F">
        <w:t>: at least one gender-targeted outcome and gender mainstreamed across all other outcomes</w:t>
      </w:r>
      <w:r>
        <w:t>.</w:t>
      </w:r>
      <w:r w:rsidR="49034324">
        <w:t xml:space="preserve"> </w:t>
      </w:r>
      <w:r>
        <w:t xml:space="preserve"> </w:t>
      </w:r>
    </w:p>
    <w:p w14:paraId="713AD9C8" w14:textId="79C1C038" w:rsidR="00697AC2" w:rsidRDefault="00697AC2"/>
    <w:p w14:paraId="18F81A35" w14:textId="04921BE4" w:rsidR="00697AC2" w:rsidRDefault="00697AC2">
      <w:r w:rsidRPr="164DBAA1">
        <w:rPr>
          <w:b/>
          <w:bCs/>
        </w:rPr>
        <w:t>Gender-targeted outcomes</w:t>
      </w:r>
      <w:r>
        <w:t xml:space="preserve"> are defined as outcomes that focus on gender equality and women’s empowerment as the primary objective. Examples of gender-targeted outcomes</w:t>
      </w:r>
      <w:r w:rsidR="24414108">
        <w:t xml:space="preserve"> are as follows</w:t>
      </w:r>
      <w:r>
        <w:t>:</w:t>
      </w:r>
    </w:p>
    <w:p w14:paraId="22C16B28" w14:textId="77777777" w:rsidR="003A5A28" w:rsidRDefault="003A5A28"/>
    <w:p w14:paraId="6BC59482" w14:textId="7B0221F6" w:rsidR="003A5A28" w:rsidRPr="003A5A28" w:rsidRDefault="00653D6C" w:rsidP="003A5A28">
      <w:pPr>
        <w:pStyle w:val="ListParagraph"/>
        <w:numPr>
          <w:ilvl w:val="0"/>
          <w:numId w:val="6"/>
        </w:numPr>
        <w:rPr>
          <w:i/>
          <w:iCs/>
          <w:sz w:val="22"/>
          <w:szCs w:val="22"/>
        </w:rPr>
      </w:pPr>
      <w:r w:rsidRPr="003A5A28">
        <w:rPr>
          <w:i/>
          <w:iCs/>
          <w:sz w:val="22"/>
          <w:szCs w:val="22"/>
        </w:rPr>
        <w:t>By 2022, gender equality is advanced in the Pacific, where more women and girls are empowered and enjoy equal opportunities and rights in social, economic, and political spheres, contribute to and benefit from national development, and live a life free from violence and discrimination (United Nations in the Pacific, UNPS 2018-2022)</w:t>
      </w:r>
      <w:r w:rsidR="003A5A28" w:rsidRPr="003A5A28">
        <w:rPr>
          <w:i/>
          <w:iCs/>
          <w:sz w:val="22"/>
          <w:szCs w:val="22"/>
        </w:rPr>
        <w:t>.</w:t>
      </w:r>
    </w:p>
    <w:p w14:paraId="1BDDD268" w14:textId="77777777" w:rsidR="003A5A28" w:rsidRPr="003A5A28" w:rsidRDefault="003A5A28" w:rsidP="003A5A28">
      <w:pPr>
        <w:rPr>
          <w:i/>
          <w:iCs/>
          <w:sz w:val="22"/>
          <w:szCs w:val="22"/>
        </w:rPr>
      </w:pPr>
    </w:p>
    <w:p w14:paraId="3473E7ED" w14:textId="27DD92F6" w:rsidR="008C2E89" w:rsidRPr="003A5A28" w:rsidRDefault="008C2E89" w:rsidP="003A5A28">
      <w:pPr>
        <w:pStyle w:val="ListParagraph"/>
        <w:numPr>
          <w:ilvl w:val="0"/>
          <w:numId w:val="6"/>
        </w:numPr>
        <w:rPr>
          <w:rFonts w:eastAsia="Times New Roman" w:cs="Times New Roman"/>
          <w:i/>
          <w:iCs/>
          <w:sz w:val="22"/>
          <w:szCs w:val="22"/>
        </w:rPr>
      </w:pPr>
      <w:r w:rsidRPr="003A5A28">
        <w:rPr>
          <w:rFonts w:eastAsia="Times New Roman" w:cs="Times New Roman"/>
          <w:i/>
          <w:iCs/>
          <w:sz w:val="22"/>
          <w:szCs w:val="22"/>
        </w:rPr>
        <w:t>By 2020, women and girls are protected from violence, HTPs, exploitation, and discrimination and are rehabilitated and reintegrated to enjoy and exercise their human rights (United Nations Development Assistance Framework for Ethiopia 2016-2020).</w:t>
      </w:r>
    </w:p>
    <w:p w14:paraId="7A5B9D2A" w14:textId="77777777" w:rsidR="003A5A28" w:rsidRPr="003A5A28" w:rsidRDefault="003A5A28" w:rsidP="003A5A28">
      <w:pPr>
        <w:rPr>
          <w:rFonts w:eastAsia="Times New Roman" w:cs="Times New Roman"/>
          <w:i/>
          <w:iCs/>
          <w:sz w:val="22"/>
          <w:szCs w:val="22"/>
        </w:rPr>
      </w:pPr>
    </w:p>
    <w:p w14:paraId="05275040" w14:textId="730820D7" w:rsidR="003A5A28" w:rsidRPr="003A5A28" w:rsidRDefault="003A5A28" w:rsidP="003A5A28">
      <w:pPr>
        <w:pStyle w:val="ListParagraph"/>
        <w:numPr>
          <w:ilvl w:val="0"/>
          <w:numId w:val="6"/>
        </w:numPr>
        <w:rPr>
          <w:i/>
          <w:iCs/>
          <w:sz w:val="22"/>
          <w:szCs w:val="22"/>
        </w:rPr>
      </w:pPr>
      <w:r w:rsidRPr="003A5A28">
        <w:rPr>
          <w:rFonts w:eastAsia="Times New Roman" w:cs="Times New Roman"/>
          <w:i/>
          <w:iCs/>
          <w:sz w:val="22"/>
          <w:szCs w:val="22"/>
        </w:rPr>
        <w:t xml:space="preserve">Improved legislation, policies, </w:t>
      </w:r>
      <w:proofErr w:type="gramStart"/>
      <w:r w:rsidRPr="003A5A28">
        <w:rPr>
          <w:rFonts w:eastAsia="Times New Roman" w:cs="Times New Roman"/>
          <w:i/>
          <w:iCs/>
          <w:sz w:val="22"/>
          <w:szCs w:val="22"/>
        </w:rPr>
        <w:t>implementation</w:t>
      </w:r>
      <w:proofErr w:type="gramEnd"/>
      <w:r w:rsidRPr="003A5A28">
        <w:rPr>
          <w:rFonts w:eastAsia="Times New Roman" w:cs="Times New Roman"/>
          <w:i/>
          <w:iCs/>
          <w:sz w:val="22"/>
          <w:szCs w:val="22"/>
        </w:rPr>
        <w:t xml:space="preserve"> and accountability mechanisms to enable equal and effective social, economic and political participation of women and girls by 2020; </w:t>
      </w:r>
      <w:r w:rsidRPr="003A5A28">
        <w:rPr>
          <w:i/>
          <w:iCs/>
          <w:sz w:val="22"/>
          <w:szCs w:val="22"/>
        </w:rPr>
        <w:t>Improved legislation, policies, implementation and accountability mechanisms (on prevention and protection) to promote gender equality and reduce all forms of Sexual and Gender Based Violence by 2020 (Government of the Republic of Turkey and the UN System in Turkey, UN Development Cooperation Strategy 2016-2020).</w:t>
      </w:r>
    </w:p>
    <w:p w14:paraId="71034C51" w14:textId="2693AC60" w:rsidR="00697AC2" w:rsidRDefault="00697AC2"/>
    <w:p w14:paraId="5C1E3469" w14:textId="24B2D4D6" w:rsidR="00697AC2" w:rsidRDefault="00697AC2">
      <w:r w:rsidRPr="164DBAA1">
        <w:rPr>
          <w:b/>
          <w:bCs/>
        </w:rPr>
        <w:t>Gender</w:t>
      </w:r>
      <w:r w:rsidR="41B466B0" w:rsidRPr="164DBAA1">
        <w:rPr>
          <w:b/>
          <w:bCs/>
        </w:rPr>
        <w:t>-</w:t>
      </w:r>
      <w:r w:rsidRPr="164DBAA1">
        <w:rPr>
          <w:b/>
          <w:bCs/>
        </w:rPr>
        <w:t>mainstreamed outcomes</w:t>
      </w:r>
      <w:r>
        <w:t xml:space="preserve"> (also called gender</w:t>
      </w:r>
      <w:r w:rsidR="6FB91381">
        <w:t>-</w:t>
      </w:r>
      <w:r>
        <w:t>integrated</w:t>
      </w:r>
      <w:r w:rsidR="00ED014F">
        <w:t xml:space="preserve"> outcomes</w:t>
      </w:r>
      <w:r>
        <w:t>) are defined as outcomes that ensure gender equality is considered within a broader objective, addressing the differential needs and inequalities of women, men, girls, boys. Examples of gender</w:t>
      </w:r>
      <w:r w:rsidR="2DBEF123">
        <w:t>-</w:t>
      </w:r>
      <w:r>
        <w:t>mainstreamed outcomes</w:t>
      </w:r>
      <w:r w:rsidR="244D92F4">
        <w:t xml:space="preserve"> are as follows</w:t>
      </w:r>
      <w:r>
        <w:t>:</w:t>
      </w:r>
    </w:p>
    <w:p w14:paraId="119834B9" w14:textId="77777777" w:rsidR="00ED014F" w:rsidRDefault="00ED014F"/>
    <w:p w14:paraId="1DFDE322" w14:textId="172B5E3F" w:rsidR="003A5A28" w:rsidRDefault="00AC6696" w:rsidP="00ED014F">
      <w:pPr>
        <w:pStyle w:val="ListParagraph"/>
        <w:numPr>
          <w:ilvl w:val="0"/>
          <w:numId w:val="6"/>
        </w:numPr>
        <w:rPr>
          <w:i/>
          <w:iCs/>
          <w:sz w:val="22"/>
          <w:szCs w:val="22"/>
        </w:rPr>
      </w:pPr>
      <w:r w:rsidRPr="00ED014F">
        <w:rPr>
          <w:i/>
          <w:iCs/>
          <w:sz w:val="22"/>
          <w:szCs w:val="22"/>
        </w:rPr>
        <w:t xml:space="preserve">By 2022, people vulnerable to social, </w:t>
      </w:r>
      <w:proofErr w:type="gramStart"/>
      <w:r w:rsidRPr="00ED014F">
        <w:rPr>
          <w:i/>
          <w:iCs/>
          <w:sz w:val="22"/>
          <w:szCs w:val="22"/>
        </w:rPr>
        <w:t>economic</w:t>
      </w:r>
      <w:proofErr w:type="gramEnd"/>
      <w:r w:rsidRPr="00ED014F">
        <w:rPr>
          <w:i/>
          <w:iCs/>
          <w:sz w:val="22"/>
          <w:szCs w:val="22"/>
        </w:rPr>
        <w:t xml:space="preserve"> and environmental exclusion (especially women, young people and migrants among others) have increased opportunities for productive employment through decent jobs and entrepreneurship (Government of India and the United Nations, Sustainable Development Framework 2018-2022).</w:t>
      </w:r>
    </w:p>
    <w:p w14:paraId="75CB63D6" w14:textId="77777777" w:rsidR="00ED014F" w:rsidRPr="00ED014F" w:rsidRDefault="00ED014F" w:rsidP="00ED014F">
      <w:pPr>
        <w:pStyle w:val="ListParagraph"/>
        <w:rPr>
          <w:i/>
          <w:iCs/>
          <w:sz w:val="22"/>
          <w:szCs w:val="22"/>
        </w:rPr>
      </w:pPr>
    </w:p>
    <w:p w14:paraId="19EB2563" w14:textId="16C1F77D" w:rsidR="008E3F01" w:rsidRDefault="008E3F01" w:rsidP="164DBAA1">
      <w:pPr>
        <w:pStyle w:val="ListParagraph"/>
        <w:numPr>
          <w:ilvl w:val="0"/>
          <w:numId w:val="6"/>
        </w:numPr>
        <w:rPr>
          <w:i/>
          <w:iCs/>
          <w:sz w:val="22"/>
          <w:szCs w:val="22"/>
        </w:rPr>
      </w:pPr>
      <w:r w:rsidRPr="164DBAA1">
        <w:rPr>
          <w:i/>
          <w:iCs/>
          <w:sz w:val="22"/>
          <w:szCs w:val="22"/>
        </w:rPr>
        <w:t>Economic diversification, to provide decent work opportunities for the underemployed, youth and socially vulnerable women and men (United Nations in the Republic of Kazakhstan, Partnership Framework for Development 2016-2020).</w:t>
      </w:r>
    </w:p>
    <w:p w14:paraId="2A403BDF" w14:textId="77777777" w:rsidR="00ED014F" w:rsidRPr="00ED014F" w:rsidRDefault="00ED014F" w:rsidP="00ED014F">
      <w:pPr>
        <w:pStyle w:val="ListParagraph"/>
        <w:rPr>
          <w:i/>
          <w:iCs/>
          <w:sz w:val="22"/>
          <w:szCs w:val="22"/>
        </w:rPr>
      </w:pPr>
    </w:p>
    <w:p w14:paraId="76042D50" w14:textId="77777777" w:rsidR="003A5A28" w:rsidRPr="00ED014F" w:rsidRDefault="003A5A28" w:rsidP="00ED014F">
      <w:pPr>
        <w:pStyle w:val="ListParagraph"/>
        <w:numPr>
          <w:ilvl w:val="0"/>
          <w:numId w:val="6"/>
        </w:numPr>
        <w:rPr>
          <w:i/>
          <w:iCs/>
          <w:sz w:val="22"/>
          <w:szCs w:val="22"/>
        </w:rPr>
      </w:pPr>
      <w:r w:rsidRPr="00ED014F">
        <w:rPr>
          <w:i/>
          <w:iCs/>
          <w:sz w:val="22"/>
          <w:szCs w:val="22"/>
        </w:rPr>
        <w:t xml:space="preserve">By 2020 the Ethiopian population, in particular women, </w:t>
      </w:r>
      <w:proofErr w:type="gramStart"/>
      <w:r w:rsidRPr="00ED014F">
        <w:rPr>
          <w:i/>
          <w:iCs/>
          <w:sz w:val="22"/>
          <w:szCs w:val="22"/>
        </w:rPr>
        <w:t>children</w:t>
      </w:r>
      <w:proofErr w:type="gramEnd"/>
      <w:r w:rsidRPr="00ED014F">
        <w:rPr>
          <w:i/>
          <w:iCs/>
          <w:sz w:val="22"/>
          <w:szCs w:val="22"/>
        </w:rPr>
        <w:t xml:space="preserve"> and vulnerable groups, have increased access to and use affordable, safe and adequate water, sanitation and hygiene (WASH) services (United Nations Development Assistance Framework for Ethiopia 2016-2020).</w:t>
      </w:r>
    </w:p>
    <w:p w14:paraId="4E2B8117" w14:textId="77777777" w:rsidR="003A5A28" w:rsidRPr="003A5A28" w:rsidRDefault="003A5A28" w:rsidP="003A5A28">
      <w:pPr>
        <w:rPr>
          <w:rFonts w:eastAsia="Times New Roman" w:cs="Times New Roman"/>
          <w:i/>
          <w:iCs/>
          <w:color w:val="000000" w:themeColor="text1"/>
          <w:sz w:val="22"/>
          <w:szCs w:val="22"/>
        </w:rPr>
      </w:pPr>
    </w:p>
    <w:p w14:paraId="4621A8EC" w14:textId="77777777" w:rsidR="00653D6C" w:rsidRDefault="00653D6C"/>
    <w:p w14:paraId="260FC592" w14:textId="7209CCE0" w:rsidR="00BC6572" w:rsidRDefault="00BC6572">
      <w:r w:rsidRPr="164DBAA1">
        <w:rPr>
          <w:b/>
          <w:bCs/>
        </w:rPr>
        <w:t>Gender</w:t>
      </w:r>
      <w:r w:rsidR="1B22562D" w:rsidRPr="164DBAA1">
        <w:rPr>
          <w:b/>
          <w:bCs/>
        </w:rPr>
        <w:t>-</w:t>
      </w:r>
      <w:r w:rsidRPr="164DBAA1">
        <w:rPr>
          <w:b/>
          <w:bCs/>
        </w:rPr>
        <w:t>blind outcomes</w:t>
      </w:r>
      <w:r>
        <w:t xml:space="preserve"> are defined as outcomes that do not recognize gender differences.</w:t>
      </w:r>
      <w:r w:rsidR="4DB65CCF">
        <w:t xml:space="preserve"> </w:t>
      </w:r>
      <w:r>
        <w:t>Examples of gender</w:t>
      </w:r>
      <w:r w:rsidR="39019A2C">
        <w:t>-</w:t>
      </w:r>
      <w:r>
        <w:t>blind outcomes</w:t>
      </w:r>
      <w:r w:rsidR="62F69B06">
        <w:t xml:space="preserve"> are as follows</w:t>
      </w:r>
      <w:r>
        <w:t>:</w:t>
      </w:r>
    </w:p>
    <w:p w14:paraId="54BD8746" w14:textId="77777777" w:rsidR="00ED014F" w:rsidRDefault="00ED014F"/>
    <w:p w14:paraId="4B46B2C1" w14:textId="05FB66D8" w:rsidR="00653D6C" w:rsidRDefault="00653D6C" w:rsidP="00ED014F">
      <w:pPr>
        <w:pStyle w:val="ListParagraph"/>
        <w:numPr>
          <w:ilvl w:val="0"/>
          <w:numId w:val="6"/>
        </w:numPr>
        <w:rPr>
          <w:i/>
          <w:iCs/>
          <w:sz w:val="22"/>
          <w:szCs w:val="22"/>
        </w:rPr>
      </w:pPr>
      <w:r w:rsidRPr="00ED014F">
        <w:rPr>
          <w:i/>
          <w:iCs/>
          <w:sz w:val="22"/>
          <w:szCs w:val="22"/>
        </w:rPr>
        <w:t>By 2022, people and ecosystems in the Pacific are more resilient to the impacts of climate change, climate variability and disasters; and environmental protection is strengthened (United Nations in the Pacific, UNPS 2018-2022).</w:t>
      </w:r>
    </w:p>
    <w:p w14:paraId="18A52651" w14:textId="77777777" w:rsidR="00ED014F" w:rsidRPr="00ED014F" w:rsidRDefault="00ED014F" w:rsidP="00ED014F">
      <w:pPr>
        <w:pStyle w:val="ListParagraph"/>
        <w:rPr>
          <w:i/>
          <w:iCs/>
          <w:sz w:val="22"/>
          <w:szCs w:val="22"/>
        </w:rPr>
      </w:pPr>
    </w:p>
    <w:p w14:paraId="6ED986F0" w14:textId="12BBAD99" w:rsidR="008C2E89" w:rsidRDefault="008C2E89" w:rsidP="00ED014F">
      <w:pPr>
        <w:pStyle w:val="ListParagraph"/>
        <w:numPr>
          <w:ilvl w:val="0"/>
          <w:numId w:val="6"/>
        </w:numPr>
        <w:rPr>
          <w:i/>
          <w:iCs/>
          <w:sz w:val="22"/>
          <w:szCs w:val="22"/>
        </w:rPr>
      </w:pPr>
      <w:r w:rsidRPr="008C2E89">
        <w:rPr>
          <w:i/>
          <w:iCs/>
          <w:sz w:val="22"/>
          <w:szCs w:val="22"/>
        </w:rPr>
        <w:t xml:space="preserve">By 2020 Ethiopia will achieve increasingly robust and inclusive growth in agricultural production and productivity and increased commercialization of the agricultural sector </w:t>
      </w:r>
      <w:r w:rsidRPr="00ED014F">
        <w:rPr>
          <w:i/>
          <w:iCs/>
          <w:sz w:val="22"/>
          <w:szCs w:val="22"/>
        </w:rPr>
        <w:t>(United Nations Development Assistance Framework for Ethiopia 2016-2020).</w:t>
      </w:r>
    </w:p>
    <w:p w14:paraId="44FF7497" w14:textId="77777777" w:rsidR="00ED014F" w:rsidRPr="008C2E89" w:rsidRDefault="00ED014F" w:rsidP="00ED014F">
      <w:pPr>
        <w:pStyle w:val="ListParagraph"/>
        <w:rPr>
          <w:i/>
          <w:iCs/>
          <w:sz w:val="22"/>
          <w:szCs w:val="22"/>
        </w:rPr>
      </w:pPr>
    </w:p>
    <w:p w14:paraId="0D19931B" w14:textId="1ACE616C" w:rsidR="00DA303A" w:rsidRPr="00DA303A" w:rsidRDefault="00DA303A" w:rsidP="164DBAA1">
      <w:pPr>
        <w:pStyle w:val="ListParagraph"/>
        <w:numPr>
          <w:ilvl w:val="0"/>
          <w:numId w:val="6"/>
        </w:numPr>
        <w:rPr>
          <w:i/>
          <w:iCs/>
          <w:sz w:val="22"/>
          <w:szCs w:val="22"/>
        </w:rPr>
      </w:pPr>
      <w:r w:rsidRPr="164DBAA1">
        <w:rPr>
          <w:i/>
          <w:iCs/>
          <w:sz w:val="22"/>
          <w:szCs w:val="22"/>
        </w:rPr>
        <w:t xml:space="preserve">Ecosystems and natural resources </w:t>
      </w:r>
      <w:r w:rsidR="630ACFC8" w:rsidRPr="164DBAA1">
        <w:rPr>
          <w:i/>
          <w:iCs/>
          <w:sz w:val="22"/>
          <w:szCs w:val="22"/>
        </w:rPr>
        <w:t xml:space="preserve">[are] </w:t>
      </w:r>
      <w:r w:rsidRPr="164DBAA1">
        <w:rPr>
          <w:i/>
          <w:iCs/>
          <w:sz w:val="22"/>
          <w:szCs w:val="22"/>
        </w:rPr>
        <w:t>protected and sustainably used, and human settlements resilient to natural and manmade disasters and climate change (United Nations in the Republic of Kazakhstan, Partnership Framework for Development 2016-2020).</w:t>
      </w:r>
    </w:p>
    <w:p w14:paraId="38F3D1F4" w14:textId="2A1A92A9" w:rsidR="008C2E89" w:rsidRPr="008C2E89" w:rsidRDefault="008C2E89" w:rsidP="008C2E89">
      <w:pPr>
        <w:spacing w:before="100" w:beforeAutospacing="1" w:after="100" w:afterAutospacing="1"/>
        <w:rPr>
          <w:rFonts w:ascii="Times New Roman" w:eastAsia="Times New Roman" w:hAnsi="Times New Roman" w:cs="Times New Roman"/>
        </w:rPr>
      </w:pPr>
    </w:p>
    <w:p w14:paraId="412AF471" w14:textId="72446815" w:rsidR="00653D6C" w:rsidRDefault="00653D6C" w:rsidP="00653D6C">
      <w:pPr>
        <w:pStyle w:val="NormalWeb"/>
      </w:pPr>
    </w:p>
    <w:p w14:paraId="2882FFDE" w14:textId="449EA6AA" w:rsidR="00697AC2" w:rsidRDefault="00697AC2"/>
    <w:p w14:paraId="156C9862" w14:textId="77777777" w:rsidR="00697AC2" w:rsidRDefault="00697AC2"/>
    <w:sectPr w:rsidR="00697AC2" w:rsidSect="002E1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B42D14"/>
    <w:lvl w:ilvl="0">
      <w:start w:val="1"/>
      <w:numFmt w:val="bullet"/>
      <w:pStyle w:val="ListBullet2"/>
      <w:lvlText w:val=""/>
      <w:lvlJc w:val="left"/>
      <w:pPr>
        <w:tabs>
          <w:tab w:val="num" w:pos="630"/>
        </w:tabs>
        <w:ind w:left="630" w:hanging="360"/>
      </w:pPr>
      <w:rPr>
        <w:rFonts w:ascii="Symbol" w:hAnsi="Symbol" w:hint="default"/>
      </w:rPr>
    </w:lvl>
  </w:abstractNum>
  <w:abstractNum w:abstractNumId="1" w15:restartNumberingAfterBreak="0">
    <w:nsid w:val="0EAB6033"/>
    <w:multiLevelType w:val="multilevel"/>
    <w:tmpl w:val="AC8E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E06101"/>
    <w:multiLevelType w:val="hybridMultilevel"/>
    <w:tmpl w:val="6952EFC4"/>
    <w:lvl w:ilvl="0" w:tplc="73B2D18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A51C3"/>
    <w:multiLevelType w:val="hybridMultilevel"/>
    <w:tmpl w:val="E54C14CE"/>
    <w:lvl w:ilvl="0" w:tplc="73B2D18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D69E0"/>
    <w:multiLevelType w:val="hybridMultilevel"/>
    <w:tmpl w:val="8D2A1206"/>
    <w:lvl w:ilvl="0" w:tplc="73B2D18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3583F"/>
    <w:multiLevelType w:val="hybridMultilevel"/>
    <w:tmpl w:val="34EED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7232A"/>
    <w:multiLevelType w:val="hybridMultilevel"/>
    <w:tmpl w:val="FA9E4744"/>
    <w:lvl w:ilvl="0" w:tplc="73B2D18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C2"/>
    <w:rsid w:val="000F5180"/>
    <w:rsid w:val="001873E8"/>
    <w:rsid w:val="002E10ED"/>
    <w:rsid w:val="00366D76"/>
    <w:rsid w:val="003A5A28"/>
    <w:rsid w:val="005B1283"/>
    <w:rsid w:val="00653D6C"/>
    <w:rsid w:val="00697AC2"/>
    <w:rsid w:val="006D51B2"/>
    <w:rsid w:val="008435DD"/>
    <w:rsid w:val="008C2E89"/>
    <w:rsid w:val="008E3F01"/>
    <w:rsid w:val="00AC6696"/>
    <w:rsid w:val="00BC6572"/>
    <w:rsid w:val="00C93904"/>
    <w:rsid w:val="00D8640E"/>
    <w:rsid w:val="00DA303A"/>
    <w:rsid w:val="00ED014F"/>
    <w:rsid w:val="00F96EFD"/>
    <w:rsid w:val="0491D7C8"/>
    <w:rsid w:val="098E6DB2"/>
    <w:rsid w:val="0D0FB286"/>
    <w:rsid w:val="164DBAA1"/>
    <w:rsid w:val="18B8293F"/>
    <w:rsid w:val="1AD83A74"/>
    <w:rsid w:val="1B22562D"/>
    <w:rsid w:val="1BFBE56A"/>
    <w:rsid w:val="24414108"/>
    <w:rsid w:val="244D92F4"/>
    <w:rsid w:val="289292DD"/>
    <w:rsid w:val="297FB1E0"/>
    <w:rsid w:val="2DBEF123"/>
    <w:rsid w:val="2EE8D247"/>
    <w:rsid w:val="32A89A7F"/>
    <w:rsid w:val="39019A2C"/>
    <w:rsid w:val="3ACCA2A3"/>
    <w:rsid w:val="411056CB"/>
    <w:rsid w:val="41B466B0"/>
    <w:rsid w:val="49034324"/>
    <w:rsid w:val="4D521F23"/>
    <w:rsid w:val="4DB65CCF"/>
    <w:rsid w:val="53A58954"/>
    <w:rsid w:val="592E8E64"/>
    <w:rsid w:val="62F69B06"/>
    <w:rsid w:val="630ACFC8"/>
    <w:rsid w:val="635D2DD2"/>
    <w:rsid w:val="64F8686C"/>
    <w:rsid w:val="6A146487"/>
    <w:rsid w:val="6BC7FC37"/>
    <w:rsid w:val="6F80360C"/>
    <w:rsid w:val="6FB91381"/>
    <w:rsid w:val="70D3D871"/>
    <w:rsid w:val="71EB7C5B"/>
    <w:rsid w:val="7310AF0D"/>
    <w:rsid w:val="73A21E70"/>
    <w:rsid w:val="7542F0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1EA2"/>
  <w15:chartTrackingRefBased/>
  <w15:docId w15:val="{97D20355-7560-2C45-AD8C-AB359503A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697AC2"/>
    <w:pPr>
      <w:numPr>
        <w:numId w:val="1"/>
      </w:numPr>
      <w:tabs>
        <w:tab w:val="clear" w:pos="630"/>
        <w:tab w:val="num" w:pos="720"/>
      </w:tabs>
      <w:spacing w:after="120"/>
      <w:ind w:left="720"/>
    </w:pPr>
    <w:rPr>
      <w:rFonts w:cs="Times New Roman"/>
      <w:bCs/>
      <w:color w:val="000000" w:themeColor="text1"/>
      <w:sz w:val="20"/>
      <w:szCs w:val="20"/>
      <w:lang w:val="en-GB" w:eastAsia="en-GB"/>
    </w:rPr>
  </w:style>
  <w:style w:type="paragraph" w:styleId="NormalWeb">
    <w:name w:val="Normal (Web)"/>
    <w:basedOn w:val="Normal"/>
    <w:uiPriority w:val="99"/>
    <w:unhideWhenUsed/>
    <w:rsid w:val="00697AC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A5A28"/>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187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1260">
      <w:bodyDiv w:val="1"/>
      <w:marLeft w:val="0"/>
      <w:marRight w:val="0"/>
      <w:marTop w:val="0"/>
      <w:marBottom w:val="0"/>
      <w:divBdr>
        <w:top w:val="none" w:sz="0" w:space="0" w:color="auto"/>
        <w:left w:val="none" w:sz="0" w:space="0" w:color="auto"/>
        <w:bottom w:val="none" w:sz="0" w:space="0" w:color="auto"/>
        <w:right w:val="none" w:sz="0" w:space="0" w:color="auto"/>
      </w:divBdr>
      <w:divsChild>
        <w:div w:id="1658025876">
          <w:marLeft w:val="0"/>
          <w:marRight w:val="0"/>
          <w:marTop w:val="0"/>
          <w:marBottom w:val="0"/>
          <w:divBdr>
            <w:top w:val="none" w:sz="0" w:space="0" w:color="auto"/>
            <w:left w:val="none" w:sz="0" w:space="0" w:color="auto"/>
            <w:bottom w:val="none" w:sz="0" w:space="0" w:color="auto"/>
            <w:right w:val="none" w:sz="0" w:space="0" w:color="auto"/>
          </w:divBdr>
          <w:divsChild>
            <w:div w:id="1006907575">
              <w:marLeft w:val="0"/>
              <w:marRight w:val="0"/>
              <w:marTop w:val="0"/>
              <w:marBottom w:val="0"/>
              <w:divBdr>
                <w:top w:val="none" w:sz="0" w:space="0" w:color="auto"/>
                <w:left w:val="none" w:sz="0" w:space="0" w:color="auto"/>
                <w:bottom w:val="none" w:sz="0" w:space="0" w:color="auto"/>
                <w:right w:val="none" w:sz="0" w:space="0" w:color="auto"/>
              </w:divBdr>
              <w:divsChild>
                <w:div w:id="118601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08121">
      <w:bodyDiv w:val="1"/>
      <w:marLeft w:val="0"/>
      <w:marRight w:val="0"/>
      <w:marTop w:val="0"/>
      <w:marBottom w:val="0"/>
      <w:divBdr>
        <w:top w:val="none" w:sz="0" w:space="0" w:color="auto"/>
        <w:left w:val="none" w:sz="0" w:space="0" w:color="auto"/>
        <w:bottom w:val="none" w:sz="0" w:space="0" w:color="auto"/>
        <w:right w:val="none" w:sz="0" w:space="0" w:color="auto"/>
      </w:divBdr>
      <w:divsChild>
        <w:div w:id="782923865">
          <w:marLeft w:val="0"/>
          <w:marRight w:val="0"/>
          <w:marTop w:val="0"/>
          <w:marBottom w:val="0"/>
          <w:divBdr>
            <w:top w:val="none" w:sz="0" w:space="0" w:color="auto"/>
            <w:left w:val="none" w:sz="0" w:space="0" w:color="auto"/>
            <w:bottom w:val="none" w:sz="0" w:space="0" w:color="auto"/>
            <w:right w:val="none" w:sz="0" w:space="0" w:color="auto"/>
          </w:divBdr>
          <w:divsChild>
            <w:div w:id="1956331622">
              <w:marLeft w:val="0"/>
              <w:marRight w:val="0"/>
              <w:marTop w:val="0"/>
              <w:marBottom w:val="0"/>
              <w:divBdr>
                <w:top w:val="none" w:sz="0" w:space="0" w:color="auto"/>
                <w:left w:val="none" w:sz="0" w:space="0" w:color="auto"/>
                <w:bottom w:val="none" w:sz="0" w:space="0" w:color="auto"/>
                <w:right w:val="none" w:sz="0" w:space="0" w:color="auto"/>
              </w:divBdr>
              <w:divsChild>
                <w:div w:id="1056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6477">
      <w:bodyDiv w:val="1"/>
      <w:marLeft w:val="0"/>
      <w:marRight w:val="0"/>
      <w:marTop w:val="0"/>
      <w:marBottom w:val="0"/>
      <w:divBdr>
        <w:top w:val="none" w:sz="0" w:space="0" w:color="auto"/>
        <w:left w:val="none" w:sz="0" w:space="0" w:color="auto"/>
        <w:bottom w:val="none" w:sz="0" w:space="0" w:color="auto"/>
        <w:right w:val="none" w:sz="0" w:space="0" w:color="auto"/>
      </w:divBdr>
      <w:divsChild>
        <w:div w:id="1746802477">
          <w:marLeft w:val="0"/>
          <w:marRight w:val="0"/>
          <w:marTop w:val="0"/>
          <w:marBottom w:val="0"/>
          <w:divBdr>
            <w:top w:val="none" w:sz="0" w:space="0" w:color="auto"/>
            <w:left w:val="none" w:sz="0" w:space="0" w:color="auto"/>
            <w:bottom w:val="none" w:sz="0" w:space="0" w:color="auto"/>
            <w:right w:val="none" w:sz="0" w:space="0" w:color="auto"/>
          </w:divBdr>
          <w:divsChild>
            <w:div w:id="9573377">
              <w:marLeft w:val="0"/>
              <w:marRight w:val="0"/>
              <w:marTop w:val="0"/>
              <w:marBottom w:val="0"/>
              <w:divBdr>
                <w:top w:val="none" w:sz="0" w:space="0" w:color="auto"/>
                <w:left w:val="none" w:sz="0" w:space="0" w:color="auto"/>
                <w:bottom w:val="none" w:sz="0" w:space="0" w:color="auto"/>
                <w:right w:val="none" w:sz="0" w:space="0" w:color="auto"/>
              </w:divBdr>
              <w:divsChild>
                <w:div w:id="8312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13795">
      <w:bodyDiv w:val="1"/>
      <w:marLeft w:val="0"/>
      <w:marRight w:val="0"/>
      <w:marTop w:val="0"/>
      <w:marBottom w:val="0"/>
      <w:divBdr>
        <w:top w:val="none" w:sz="0" w:space="0" w:color="auto"/>
        <w:left w:val="none" w:sz="0" w:space="0" w:color="auto"/>
        <w:bottom w:val="none" w:sz="0" w:space="0" w:color="auto"/>
        <w:right w:val="none" w:sz="0" w:space="0" w:color="auto"/>
      </w:divBdr>
      <w:divsChild>
        <w:div w:id="2088334122">
          <w:marLeft w:val="0"/>
          <w:marRight w:val="0"/>
          <w:marTop w:val="0"/>
          <w:marBottom w:val="0"/>
          <w:divBdr>
            <w:top w:val="none" w:sz="0" w:space="0" w:color="auto"/>
            <w:left w:val="none" w:sz="0" w:space="0" w:color="auto"/>
            <w:bottom w:val="none" w:sz="0" w:space="0" w:color="auto"/>
            <w:right w:val="none" w:sz="0" w:space="0" w:color="auto"/>
          </w:divBdr>
          <w:divsChild>
            <w:div w:id="1174800204">
              <w:marLeft w:val="0"/>
              <w:marRight w:val="0"/>
              <w:marTop w:val="0"/>
              <w:marBottom w:val="0"/>
              <w:divBdr>
                <w:top w:val="none" w:sz="0" w:space="0" w:color="auto"/>
                <w:left w:val="none" w:sz="0" w:space="0" w:color="auto"/>
                <w:bottom w:val="none" w:sz="0" w:space="0" w:color="auto"/>
                <w:right w:val="none" w:sz="0" w:space="0" w:color="auto"/>
              </w:divBdr>
              <w:divsChild>
                <w:div w:id="173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60553">
      <w:bodyDiv w:val="1"/>
      <w:marLeft w:val="0"/>
      <w:marRight w:val="0"/>
      <w:marTop w:val="0"/>
      <w:marBottom w:val="0"/>
      <w:divBdr>
        <w:top w:val="none" w:sz="0" w:space="0" w:color="auto"/>
        <w:left w:val="none" w:sz="0" w:space="0" w:color="auto"/>
        <w:bottom w:val="none" w:sz="0" w:space="0" w:color="auto"/>
        <w:right w:val="none" w:sz="0" w:space="0" w:color="auto"/>
      </w:divBdr>
      <w:divsChild>
        <w:div w:id="1652057036">
          <w:marLeft w:val="0"/>
          <w:marRight w:val="0"/>
          <w:marTop w:val="0"/>
          <w:marBottom w:val="0"/>
          <w:divBdr>
            <w:top w:val="none" w:sz="0" w:space="0" w:color="auto"/>
            <w:left w:val="none" w:sz="0" w:space="0" w:color="auto"/>
            <w:bottom w:val="none" w:sz="0" w:space="0" w:color="auto"/>
            <w:right w:val="none" w:sz="0" w:space="0" w:color="auto"/>
          </w:divBdr>
          <w:divsChild>
            <w:div w:id="1167206986">
              <w:marLeft w:val="0"/>
              <w:marRight w:val="0"/>
              <w:marTop w:val="0"/>
              <w:marBottom w:val="0"/>
              <w:divBdr>
                <w:top w:val="none" w:sz="0" w:space="0" w:color="auto"/>
                <w:left w:val="none" w:sz="0" w:space="0" w:color="auto"/>
                <w:bottom w:val="none" w:sz="0" w:space="0" w:color="auto"/>
                <w:right w:val="none" w:sz="0" w:space="0" w:color="auto"/>
              </w:divBdr>
              <w:divsChild>
                <w:div w:id="14877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47872">
      <w:bodyDiv w:val="1"/>
      <w:marLeft w:val="0"/>
      <w:marRight w:val="0"/>
      <w:marTop w:val="0"/>
      <w:marBottom w:val="0"/>
      <w:divBdr>
        <w:top w:val="none" w:sz="0" w:space="0" w:color="auto"/>
        <w:left w:val="none" w:sz="0" w:space="0" w:color="auto"/>
        <w:bottom w:val="none" w:sz="0" w:space="0" w:color="auto"/>
        <w:right w:val="none" w:sz="0" w:space="0" w:color="auto"/>
      </w:divBdr>
      <w:divsChild>
        <w:div w:id="267928182">
          <w:marLeft w:val="0"/>
          <w:marRight w:val="0"/>
          <w:marTop w:val="0"/>
          <w:marBottom w:val="0"/>
          <w:divBdr>
            <w:top w:val="none" w:sz="0" w:space="0" w:color="auto"/>
            <w:left w:val="none" w:sz="0" w:space="0" w:color="auto"/>
            <w:bottom w:val="none" w:sz="0" w:space="0" w:color="auto"/>
            <w:right w:val="none" w:sz="0" w:space="0" w:color="auto"/>
          </w:divBdr>
          <w:divsChild>
            <w:div w:id="1947887720">
              <w:marLeft w:val="0"/>
              <w:marRight w:val="0"/>
              <w:marTop w:val="0"/>
              <w:marBottom w:val="0"/>
              <w:divBdr>
                <w:top w:val="none" w:sz="0" w:space="0" w:color="auto"/>
                <w:left w:val="none" w:sz="0" w:space="0" w:color="auto"/>
                <w:bottom w:val="none" w:sz="0" w:space="0" w:color="auto"/>
                <w:right w:val="none" w:sz="0" w:space="0" w:color="auto"/>
              </w:divBdr>
              <w:divsChild>
                <w:div w:id="481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9238">
      <w:bodyDiv w:val="1"/>
      <w:marLeft w:val="0"/>
      <w:marRight w:val="0"/>
      <w:marTop w:val="0"/>
      <w:marBottom w:val="0"/>
      <w:divBdr>
        <w:top w:val="none" w:sz="0" w:space="0" w:color="auto"/>
        <w:left w:val="none" w:sz="0" w:space="0" w:color="auto"/>
        <w:bottom w:val="none" w:sz="0" w:space="0" w:color="auto"/>
        <w:right w:val="none" w:sz="0" w:space="0" w:color="auto"/>
      </w:divBdr>
    </w:div>
    <w:div w:id="1453865137">
      <w:bodyDiv w:val="1"/>
      <w:marLeft w:val="0"/>
      <w:marRight w:val="0"/>
      <w:marTop w:val="0"/>
      <w:marBottom w:val="0"/>
      <w:divBdr>
        <w:top w:val="none" w:sz="0" w:space="0" w:color="auto"/>
        <w:left w:val="none" w:sz="0" w:space="0" w:color="auto"/>
        <w:bottom w:val="none" w:sz="0" w:space="0" w:color="auto"/>
        <w:right w:val="none" w:sz="0" w:space="0" w:color="auto"/>
      </w:divBdr>
      <w:divsChild>
        <w:div w:id="446700615">
          <w:marLeft w:val="0"/>
          <w:marRight w:val="0"/>
          <w:marTop w:val="0"/>
          <w:marBottom w:val="0"/>
          <w:divBdr>
            <w:top w:val="none" w:sz="0" w:space="0" w:color="auto"/>
            <w:left w:val="none" w:sz="0" w:space="0" w:color="auto"/>
            <w:bottom w:val="none" w:sz="0" w:space="0" w:color="auto"/>
            <w:right w:val="none" w:sz="0" w:space="0" w:color="auto"/>
          </w:divBdr>
          <w:divsChild>
            <w:div w:id="1873956863">
              <w:marLeft w:val="0"/>
              <w:marRight w:val="0"/>
              <w:marTop w:val="0"/>
              <w:marBottom w:val="0"/>
              <w:divBdr>
                <w:top w:val="none" w:sz="0" w:space="0" w:color="auto"/>
                <w:left w:val="none" w:sz="0" w:space="0" w:color="auto"/>
                <w:bottom w:val="none" w:sz="0" w:space="0" w:color="auto"/>
                <w:right w:val="none" w:sz="0" w:space="0" w:color="auto"/>
              </w:divBdr>
              <w:divsChild>
                <w:div w:id="356859568">
                  <w:marLeft w:val="0"/>
                  <w:marRight w:val="0"/>
                  <w:marTop w:val="0"/>
                  <w:marBottom w:val="0"/>
                  <w:divBdr>
                    <w:top w:val="none" w:sz="0" w:space="0" w:color="auto"/>
                    <w:left w:val="none" w:sz="0" w:space="0" w:color="auto"/>
                    <w:bottom w:val="none" w:sz="0" w:space="0" w:color="auto"/>
                    <w:right w:val="none" w:sz="0" w:space="0" w:color="auto"/>
                  </w:divBdr>
                  <w:divsChild>
                    <w:div w:id="12490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661245">
      <w:bodyDiv w:val="1"/>
      <w:marLeft w:val="0"/>
      <w:marRight w:val="0"/>
      <w:marTop w:val="0"/>
      <w:marBottom w:val="0"/>
      <w:divBdr>
        <w:top w:val="none" w:sz="0" w:space="0" w:color="auto"/>
        <w:left w:val="none" w:sz="0" w:space="0" w:color="auto"/>
        <w:bottom w:val="none" w:sz="0" w:space="0" w:color="auto"/>
        <w:right w:val="none" w:sz="0" w:space="0" w:color="auto"/>
      </w:divBdr>
      <w:divsChild>
        <w:div w:id="180973855">
          <w:marLeft w:val="0"/>
          <w:marRight w:val="0"/>
          <w:marTop w:val="0"/>
          <w:marBottom w:val="0"/>
          <w:divBdr>
            <w:top w:val="none" w:sz="0" w:space="0" w:color="auto"/>
            <w:left w:val="none" w:sz="0" w:space="0" w:color="auto"/>
            <w:bottom w:val="none" w:sz="0" w:space="0" w:color="auto"/>
            <w:right w:val="none" w:sz="0" w:space="0" w:color="auto"/>
          </w:divBdr>
          <w:divsChild>
            <w:div w:id="1215310704">
              <w:marLeft w:val="0"/>
              <w:marRight w:val="0"/>
              <w:marTop w:val="0"/>
              <w:marBottom w:val="0"/>
              <w:divBdr>
                <w:top w:val="none" w:sz="0" w:space="0" w:color="auto"/>
                <w:left w:val="none" w:sz="0" w:space="0" w:color="auto"/>
                <w:bottom w:val="none" w:sz="0" w:space="0" w:color="auto"/>
                <w:right w:val="none" w:sz="0" w:space="0" w:color="auto"/>
              </w:divBdr>
              <w:divsChild>
                <w:div w:id="13280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2901">
      <w:bodyDiv w:val="1"/>
      <w:marLeft w:val="0"/>
      <w:marRight w:val="0"/>
      <w:marTop w:val="0"/>
      <w:marBottom w:val="0"/>
      <w:divBdr>
        <w:top w:val="none" w:sz="0" w:space="0" w:color="auto"/>
        <w:left w:val="none" w:sz="0" w:space="0" w:color="auto"/>
        <w:bottom w:val="none" w:sz="0" w:space="0" w:color="auto"/>
        <w:right w:val="none" w:sz="0" w:space="0" w:color="auto"/>
      </w:divBdr>
      <w:divsChild>
        <w:div w:id="1507943263">
          <w:marLeft w:val="0"/>
          <w:marRight w:val="0"/>
          <w:marTop w:val="0"/>
          <w:marBottom w:val="0"/>
          <w:divBdr>
            <w:top w:val="none" w:sz="0" w:space="0" w:color="auto"/>
            <w:left w:val="none" w:sz="0" w:space="0" w:color="auto"/>
            <w:bottom w:val="none" w:sz="0" w:space="0" w:color="auto"/>
            <w:right w:val="none" w:sz="0" w:space="0" w:color="auto"/>
          </w:divBdr>
          <w:divsChild>
            <w:div w:id="1124957612">
              <w:marLeft w:val="0"/>
              <w:marRight w:val="0"/>
              <w:marTop w:val="0"/>
              <w:marBottom w:val="0"/>
              <w:divBdr>
                <w:top w:val="none" w:sz="0" w:space="0" w:color="auto"/>
                <w:left w:val="none" w:sz="0" w:space="0" w:color="auto"/>
                <w:bottom w:val="none" w:sz="0" w:space="0" w:color="auto"/>
                <w:right w:val="none" w:sz="0" w:space="0" w:color="auto"/>
              </w:divBdr>
              <w:divsChild>
                <w:div w:id="901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76515">
      <w:bodyDiv w:val="1"/>
      <w:marLeft w:val="0"/>
      <w:marRight w:val="0"/>
      <w:marTop w:val="0"/>
      <w:marBottom w:val="0"/>
      <w:divBdr>
        <w:top w:val="none" w:sz="0" w:space="0" w:color="auto"/>
        <w:left w:val="none" w:sz="0" w:space="0" w:color="auto"/>
        <w:bottom w:val="none" w:sz="0" w:space="0" w:color="auto"/>
        <w:right w:val="none" w:sz="0" w:space="0" w:color="auto"/>
      </w:divBdr>
      <w:divsChild>
        <w:div w:id="1522548583">
          <w:marLeft w:val="0"/>
          <w:marRight w:val="0"/>
          <w:marTop w:val="0"/>
          <w:marBottom w:val="0"/>
          <w:divBdr>
            <w:top w:val="none" w:sz="0" w:space="0" w:color="auto"/>
            <w:left w:val="none" w:sz="0" w:space="0" w:color="auto"/>
            <w:bottom w:val="none" w:sz="0" w:space="0" w:color="auto"/>
            <w:right w:val="none" w:sz="0" w:space="0" w:color="auto"/>
          </w:divBdr>
          <w:divsChild>
            <w:div w:id="1461411602">
              <w:marLeft w:val="0"/>
              <w:marRight w:val="0"/>
              <w:marTop w:val="0"/>
              <w:marBottom w:val="0"/>
              <w:divBdr>
                <w:top w:val="none" w:sz="0" w:space="0" w:color="auto"/>
                <w:left w:val="none" w:sz="0" w:space="0" w:color="auto"/>
                <w:bottom w:val="none" w:sz="0" w:space="0" w:color="auto"/>
                <w:right w:val="none" w:sz="0" w:space="0" w:color="auto"/>
              </w:divBdr>
              <w:divsChild>
                <w:div w:id="1292901530">
                  <w:marLeft w:val="0"/>
                  <w:marRight w:val="0"/>
                  <w:marTop w:val="0"/>
                  <w:marBottom w:val="0"/>
                  <w:divBdr>
                    <w:top w:val="none" w:sz="0" w:space="0" w:color="auto"/>
                    <w:left w:val="none" w:sz="0" w:space="0" w:color="auto"/>
                    <w:bottom w:val="none" w:sz="0" w:space="0" w:color="auto"/>
                    <w:right w:val="none" w:sz="0" w:space="0" w:color="auto"/>
                  </w:divBdr>
                  <w:divsChild>
                    <w:div w:id="17841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64347">
      <w:bodyDiv w:val="1"/>
      <w:marLeft w:val="0"/>
      <w:marRight w:val="0"/>
      <w:marTop w:val="0"/>
      <w:marBottom w:val="0"/>
      <w:divBdr>
        <w:top w:val="none" w:sz="0" w:space="0" w:color="auto"/>
        <w:left w:val="none" w:sz="0" w:space="0" w:color="auto"/>
        <w:bottom w:val="none" w:sz="0" w:space="0" w:color="auto"/>
        <w:right w:val="none" w:sz="0" w:space="0" w:color="auto"/>
      </w:divBdr>
      <w:divsChild>
        <w:div w:id="354431436">
          <w:marLeft w:val="0"/>
          <w:marRight w:val="0"/>
          <w:marTop w:val="0"/>
          <w:marBottom w:val="0"/>
          <w:divBdr>
            <w:top w:val="none" w:sz="0" w:space="0" w:color="auto"/>
            <w:left w:val="none" w:sz="0" w:space="0" w:color="auto"/>
            <w:bottom w:val="none" w:sz="0" w:space="0" w:color="auto"/>
            <w:right w:val="none" w:sz="0" w:space="0" w:color="auto"/>
          </w:divBdr>
          <w:divsChild>
            <w:div w:id="1655257359">
              <w:marLeft w:val="0"/>
              <w:marRight w:val="0"/>
              <w:marTop w:val="0"/>
              <w:marBottom w:val="0"/>
              <w:divBdr>
                <w:top w:val="none" w:sz="0" w:space="0" w:color="auto"/>
                <w:left w:val="none" w:sz="0" w:space="0" w:color="auto"/>
                <w:bottom w:val="none" w:sz="0" w:space="0" w:color="auto"/>
                <w:right w:val="none" w:sz="0" w:space="0" w:color="auto"/>
              </w:divBdr>
              <w:divsChild>
                <w:div w:id="8120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684BE-B08C-40EB-993D-FD6D63EEF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15071-A3C9-466D-972B-8047542BCF6C}">
  <ds:schemaRefs>
    <ds:schemaRef ds:uri="http://schemas.microsoft.com/sharepoint/v3/contenttype/forms"/>
  </ds:schemaRefs>
</ds:datastoreItem>
</file>

<file path=customXml/itemProps3.xml><?xml version="1.0" encoding="utf-8"?>
<ds:datastoreItem xmlns:ds="http://schemas.openxmlformats.org/officeDocument/2006/customXml" ds:itemID="{03297275-08E3-449E-B79F-FB51C72841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Lee Esser</dc:creator>
  <cp:keywords/>
  <dc:description/>
  <cp:lastModifiedBy>Denise Laaveri</cp:lastModifiedBy>
  <cp:revision>21</cp:revision>
  <dcterms:created xsi:type="dcterms:W3CDTF">2020-11-21T14:07:00Z</dcterms:created>
  <dcterms:modified xsi:type="dcterms:W3CDTF">2021-10-05T04:02:00Z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